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仿宋_GB2312"/>
          <w:b/>
          <w:color w:val="000000"/>
          <w:sz w:val="32"/>
          <w:szCs w:val="32"/>
        </w:rPr>
      </w:pPr>
    </w:p>
    <w:p>
      <w:pPr>
        <w:jc w:val="center"/>
        <w:rPr>
          <w:rFonts w:ascii="Times New Roman" w:hAnsi="Times New Roman" w:eastAsia="仿宋_GB2312"/>
          <w:b/>
          <w:color w:val="000000"/>
          <w:sz w:val="32"/>
          <w:szCs w:val="32"/>
        </w:rPr>
      </w:pPr>
    </w:p>
    <w:p>
      <w:pPr>
        <w:jc w:val="center"/>
        <w:rPr>
          <w:rFonts w:ascii="Times New Roman" w:hAnsi="Times New Roman" w:eastAsia="仿宋_GB2312"/>
          <w:b/>
          <w:color w:val="000000"/>
          <w:sz w:val="32"/>
          <w:szCs w:val="32"/>
        </w:rPr>
      </w:pPr>
    </w:p>
    <w:p>
      <w:pPr>
        <w:jc w:val="both"/>
        <w:rPr>
          <w:rFonts w:ascii="Times New Roman" w:hAnsi="Times New Roman" w:eastAsia="仿宋_GB2312"/>
          <w:b/>
          <w:color w:val="000000"/>
          <w:sz w:val="32"/>
          <w:szCs w:val="32"/>
        </w:rPr>
      </w:pPr>
    </w:p>
    <w:p>
      <w:pPr>
        <w:jc w:val="center"/>
        <w:rPr>
          <w:rFonts w:ascii="Times New Roman" w:hAnsi="Times New Roman" w:eastAsia="仿宋_GB2312"/>
          <w:b/>
          <w:color w:val="000000"/>
          <w:sz w:val="32"/>
          <w:szCs w:val="32"/>
        </w:rPr>
      </w:pPr>
    </w:p>
    <w:p>
      <w:pPr>
        <w:pStyle w:val="24"/>
        <w:ind w:firstLine="0" w:firstLineChars="0"/>
        <w:jc w:val="center"/>
        <w:rPr>
          <w:rFonts w:hint="default" w:ascii="宋体" w:hAnsi="宋体" w:eastAsia="宋体"/>
          <w:b/>
          <w:sz w:val="36"/>
          <w:szCs w:val="36"/>
          <w:lang w:val="en-US" w:eastAsia="zh-CN"/>
        </w:rPr>
      </w:pPr>
      <w:r>
        <w:rPr>
          <w:rFonts w:hint="eastAsia" w:ascii="宋体" w:hAnsi="宋体" w:eastAsia="宋体"/>
          <w:b/>
          <w:sz w:val="36"/>
          <w:szCs w:val="36"/>
          <w:lang w:val="en-US" w:eastAsia="zh-CN"/>
        </w:rPr>
        <w:t>东海岛15万m³/d 自来水厂工程</w:t>
      </w:r>
    </w:p>
    <w:p>
      <w:pPr>
        <w:tabs>
          <w:tab w:val="left" w:pos="3827"/>
        </w:tabs>
        <w:rPr>
          <w:rFonts w:ascii="Times New Roman" w:hAnsi="Times New Roman" w:eastAsia="仿宋_GB2312"/>
          <w:color w:val="000000"/>
        </w:rPr>
      </w:pPr>
      <w:r>
        <w:rPr>
          <w:rFonts w:ascii="Times New Roman" w:hAnsi="Times New Roman" w:eastAsia="仿宋_GB2312"/>
          <w:color w:val="000000"/>
        </w:rPr>
        <w:tab/>
      </w:r>
    </w:p>
    <w:p>
      <w:pPr>
        <w:tabs>
          <w:tab w:val="left" w:pos="8280"/>
        </w:tabs>
        <w:snapToGrid w:val="0"/>
        <w:spacing w:line="360" w:lineRule="auto"/>
        <w:ind w:left="0" w:leftChars="0" w:firstLine="0" w:firstLineChars="0"/>
        <w:jc w:val="center"/>
        <w:rPr>
          <w:rFonts w:ascii="Times New Roman" w:hAnsi="Times New Roman" w:eastAsia="仿宋_GB2312"/>
          <w:b/>
          <w:color w:val="000000"/>
          <w:sz w:val="32"/>
          <w:szCs w:val="32"/>
        </w:rPr>
      </w:pPr>
      <w:r>
        <w:rPr>
          <w:rFonts w:ascii="Times New Roman" w:hAnsi="Times New Roman" w:eastAsia="黑体"/>
          <w:bCs/>
          <w:color w:val="000000"/>
          <w:sz w:val="72"/>
          <w:szCs w:val="72"/>
        </w:rPr>
        <w:t>水土保持监测总结</w:t>
      </w:r>
    </w:p>
    <w:p>
      <w:pPr>
        <w:adjustRightInd w:val="0"/>
        <w:ind w:left="420"/>
        <w:jc w:val="center"/>
        <w:rPr>
          <w:rFonts w:ascii="Times New Roman" w:hAnsi="Times New Roman" w:eastAsia="仿宋_GB2312"/>
          <w:b/>
          <w:color w:val="000000"/>
          <w:sz w:val="32"/>
          <w:szCs w:val="32"/>
        </w:rPr>
      </w:pPr>
    </w:p>
    <w:p>
      <w:pPr>
        <w:adjustRightInd w:val="0"/>
        <w:ind w:left="420"/>
        <w:jc w:val="center"/>
        <w:rPr>
          <w:rFonts w:ascii="Times New Roman" w:hAnsi="Times New Roman" w:eastAsia="仿宋_GB2312"/>
          <w:b/>
          <w:color w:val="000000"/>
          <w:sz w:val="32"/>
          <w:szCs w:val="32"/>
        </w:rPr>
      </w:pPr>
    </w:p>
    <w:p>
      <w:pPr>
        <w:adjustRightInd w:val="0"/>
        <w:ind w:left="0" w:leftChars="0" w:firstLine="0" w:firstLineChars="0"/>
        <w:jc w:val="both"/>
        <w:rPr>
          <w:rFonts w:hint="eastAsia" w:ascii="Times New Roman" w:hAnsi="Times New Roman" w:eastAsia="仿宋_GB2312"/>
          <w:b/>
          <w:color w:val="000000"/>
          <w:sz w:val="32"/>
          <w:szCs w:val="32"/>
        </w:rPr>
      </w:pPr>
    </w:p>
    <w:p>
      <w:pPr>
        <w:adjustRightInd w:val="0"/>
        <w:ind w:left="420"/>
        <w:jc w:val="center"/>
        <w:rPr>
          <w:rFonts w:ascii="Times New Roman" w:hAnsi="Times New Roman" w:eastAsia="仿宋_GB2312"/>
          <w:b/>
          <w:color w:val="000000"/>
          <w:sz w:val="32"/>
          <w:szCs w:val="32"/>
        </w:rPr>
      </w:pPr>
    </w:p>
    <w:p>
      <w:pPr>
        <w:adjustRightInd w:val="0"/>
        <w:ind w:left="420"/>
        <w:jc w:val="center"/>
        <w:rPr>
          <w:rFonts w:ascii="Times New Roman" w:hAnsi="Times New Roman" w:eastAsia="仿宋_GB2312"/>
          <w:b/>
          <w:color w:val="000000"/>
          <w:sz w:val="32"/>
          <w:szCs w:val="32"/>
        </w:rPr>
      </w:pPr>
    </w:p>
    <w:p>
      <w:pPr>
        <w:adjustRightInd w:val="0"/>
        <w:ind w:left="420"/>
        <w:jc w:val="center"/>
        <w:rPr>
          <w:rFonts w:ascii="Times New Roman" w:hAnsi="Times New Roman" w:eastAsia="仿宋_GB2312"/>
          <w:b/>
          <w:color w:val="000000"/>
          <w:sz w:val="32"/>
          <w:szCs w:val="32"/>
        </w:rPr>
      </w:pPr>
    </w:p>
    <w:p>
      <w:pPr>
        <w:adjustRightInd w:val="0"/>
        <w:ind w:left="420"/>
        <w:jc w:val="center"/>
        <w:rPr>
          <w:rFonts w:ascii="Times New Roman" w:hAnsi="Times New Roman" w:eastAsia="仿宋_GB2312"/>
          <w:b/>
          <w:color w:val="000000"/>
          <w:sz w:val="32"/>
          <w:szCs w:val="32"/>
        </w:rPr>
      </w:pPr>
    </w:p>
    <w:p>
      <w:pPr>
        <w:adjustRightInd w:val="0"/>
        <w:ind w:left="420"/>
        <w:jc w:val="center"/>
        <w:rPr>
          <w:rFonts w:ascii="Times New Roman" w:hAnsi="Times New Roman" w:eastAsia="仿宋_GB2312"/>
          <w:b/>
          <w:color w:val="000000"/>
          <w:sz w:val="32"/>
          <w:szCs w:val="32"/>
        </w:rPr>
      </w:pPr>
    </w:p>
    <w:p>
      <w:pPr>
        <w:adjustRightInd w:val="0"/>
        <w:rPr>
          <w:rFonts w:hint="eastAsia" w:ascii="Times New Roman" w:hAnsi="Times New Roman" w:eastAsia="仿宋_GB2312"/>
          <w:b/>
          <w:color w:val="000000"/>
          <w:sz w:val="32"/>
          <w:szCs w:val="32"/>
        </w:rPr>
      </w:pPr>
    </w:p>
    <w:tbl>
      <w:tblPr>
        <w:tblStyle w:val="13"/>
        <w:tblW w:w="0" w:type="auto"/>
        <w:jc w:val="center"/>
        <w:tblLayout w:type="autofit"/>
        <w:tblCellMar>
          <w:top w:w="0" w:type="dxa"/>
          <w:left w:w="108" w:type="dxa"/>
          <w:bottom w:w="0" w:type="dxa"/>
          <w:right w:w="108" w:type="dxa"/>
        </w:tblCellMar>
      </w:tblPr>
      <w:tblGrid>
        <w:gridCol w:w="1823"/>
        <w:gridCol w:w="5035"/>
      </w:tblGrid>
      <w:tr>
        <w:tblPrEx>
          <w:tblCellMar>
            <w:top w:w="0" w:type="dxa"/>
            <w:left w:w="108" w:type="dxa"/>
            <w:bottom w:w="0" w:type="dxa"/>
            <w:right w:w="108" w:type="dxa"/>
          </w:tblCellMar>
        </w:tblPrEx>
        <w:trPr>
          <w:trHeight w:val="340" w:hRule="atLeast"/>
          <w:jc w:val="center"/>
        </w:trPr>
        <w:tc>
          <w:tcPr>
            <w:tcW w:w="0" w:type="auto"/>
            <w:noWrap w:val="0"/>
            <w:vAlign w:val="center"/>
          </w:tcPr>
          <w:p>
            <w:pPr>
              <w:widowControl/>
              <w:spacing w:before="120" w:beforeLines="50" w:after="120" w:afterLines="50" w:line="360" w:lineRule="auto"/>
              <w:ind w:left="0" w:leftChars="0" w:firstLine="0" w:firstLineChars="0"/>
              <w:jc w:val="left"/>
              <w:rPr>
                <w:rFonts w:ascii="Times New Roman" w:hAnsi="Times New Roman"/>
                <w:b/>
                <w:color w:val="000000"/>
                <w:sz w:val="32"/>
                <w:szCs w:val="32"/>
              </w:rPr>
            </w:pPr>
            <w:r>
              <w:rPr>
                <w:rFonts w:ascii="Times New Roman" w:hAnsi="Times New Roman"/>
                <w:b/>
                <w:color w:val="000000"/>
                <w:sz w:val="32"/>
                <w:szCs w:val="32"/>
              </w:rPr>
              <w:t>建设单位：</w:t>
            </w:r>
          </w:p>
        </w:tc>
        <w:tc>
          <w:tcPr>
            <w:tcW w:w="5035" w:type="dxa"/>
            <w:noWrap w:val="0"/>
            <w:vAlign w:val="top"/>
          </w:tcPr>
          <w:p>
            <w:pPr>
              <w:widowControl/>
              <w:spacing w:before="120" w:beforeLines="50" w:after="120" w:afterLines="50" w:line="360" w:lineRule="auto"/>
              <w:ind w:left="0" w:leftChars="0" w:firstLine="0" w:firstLineChars="0"/>
              <w:jc w:val="distribute"/>
              <w:rPr>
                <w:rFonts w:hint="eastAsia" w:ascii="Times New Roman" w:hAnsi="Times New Roman"/>
                <w:b/>
                <w:color w:val="000000"/>
                <w:sz w:val="32"/>
                <w:szCs w:val="32"/>
                <w:lang w:val="en-US" w:eastAsia="zh-CN"/>
              </w:rPr>
            </w:pPr>
            <w:r>
              <w:rPr>
                <w:rFonts w:hint="eastAsia"/>
                <w:b/>
                <w:color w:val="000000"/>
                <w:sz w:val="32"/>
                <w:szCs w:val="32"/>
                <w:lang w:val="en-US" w:eastAsia="zh-CN"/>
              </w:rPr>
              <w:t>湛江开发区园区建设投资有限公司</w:t>
            </w:r>
          </w:p>
        </w:tc>
      </w:tr>
      <w:tr>
        <w:tblPrEx>
          <w:tblCellMar>
            <w:top w:w="0" w:type="dxa"/>
            <w:left w:w="108" w:type="dxa"/>
            <w:bottom w:w="0" w:type="dxa"/>
            <w:right w:w="108" w:type="dxa"/>
          </w:tblCellMar>
        </w:tblPrEx>
        <w:trPr>
          <w:trHeight w:val="340" w:hRule="atLeast"/>
          <w:jc w:val="center"/>
        </w:trPr>
        <w:tc>
          <w:tcPr>
            <w:tcW w:w="0" w:type="auto"/>
            <w:noWrap w:val="0"/>
            <w:vAlign w:val="center"/>
          </w:tcPr>
          <w:p>
            <w:pPr>
              <w:widowControl/>
              <w:spacing w:before="120" w:beforeLines="50" w:after="120" w:afterLines="50" w:line="360" w:lineRule="auto"/>
              <w:ind w:left="0" w:leftChars="0" w:firstLine="0" w:firstLineChars="0"/>
              <w:jc w:val="left"/>
              <w:rPr>
                <w:rFonts w:ascii="Times New Roman" w:hAnsi="Times New Roman"/>
                <w:b/>
                <w:color w:val="000000"/>
                <w:sz w:val="32"/>
                <w:szCs w:val="32"/>
              </w:rPr>
            </w:pPr>
            <w:r>
              <w:rPr>
                <w:rFonts w:ascii="Times New Roman" w:hAnsi="Times New Roman"/>
                <w:b/>
                <w:color w:val="000000"/>
                <w:sz w:val="32"/>
                <w:szCs w:val="32"/>
              </w:rPr>
              <w:t>监测单位：</w:t>
            </w:r>
          </w:p>
        </w:tc>
        <w:tc>
          <w:tcPr>
            <w:tcW w:w="5035" w:type="dxa"/>
            <w:noWrap w:val="0"/>
            <w:vAlign w:val="center"/>
          </w:tcPr>
          <w:p>
            <w:pPr>
              <w:widowControl/>
              <w:spacing w:before="120" w:beforeLines="50" w:after="120" w:afterLines="50" w:line="360" w:lineRule="auto"/>
              <w:ind w:left="0" w:leftChars="0" w:firstLine="0" w:firstLineChars="0"/>
              <w:jc w:val="distribute"/>
              <w:rPr>
                <w:rFonts w:hint="eastAsia" w:ascii="Times New Roman" w:hAnsi="Times New Roman" w:eastAsia="仿宋_GB2312"/>
                <w:color w:val="000000"/>
                <w:kern w:val="0"/>
                <w:sz w:val="32"/>
                <w:szCs w:val="32"/>
                <w:lang w:eastAsia="zh-CN"/>
              </w:rPr>
            </w:pPr>
            <w:r>
              <w:rPr>
                <w:rFonts w:hint="eastAsia"/>
                <w:b/>
                <w:color w:val="000000"/>
                <w:sz w:val="32"/>
                <w:szCs w:val="32"/>
                <w:lang w:eastAsia="zh-CN"/>
              </w:rPr>
              <w:t>广东环晟水利环境科技有限公司</w:t>
            </w:r>
          </w:p>
        </w:tc>
      </w:tr>
    </w:tbl>
    <w:p>
      <w:pPr>
        <w:tabs>
          <w:tab w:val="center" w:pos="4153"/>
          <w:tab w:val="left" w:pos="6105"/>
        </w:tabs>
        <w:spacing w:line="360" w:lineRule="auto"/>
        <w:jc w:val="center"/>
        <w:rPr>
          <w:rFonts w:ascii="Times New Roman" w:hAnsi="Times New Roman" w:eastAsia="仿宋_GB2312"/>
          <w:b/>
          <w:color w:val="000000"/>
          <w:sz w:val="32"/>
          <w:szCs w:val="32"/>
        </w:rPr>
        <w:sectPr>
          <w:headerReference r:id="rId7" w:type="first"/>
          <w:footerReference r:id="rId10" w:type="first"/>
          <w:headerReference r:id="rId5" w:type="default"/>
          <w:footerReference r:id="rId8" w:type="default"/>
          <w:headerReference r:id="rId6" w:type="even"/>
          <w:footerReference r:id="rId9" w:type="even"/>
          <w:pgSz w:w="11907" w:h="16840"/>
          <w:pgMar w:top="1418" w:right="1418" w:bottom="1418" w:left="1701" w:header="851" w:footer="992" w:gutter="0"/>
          <w:pgBorders>
            <w:top w:val="none" w:sz="0" w:space="0"/>
            <w:left w:val="none" w:sz="0" w:space="0"/>
            <w:bottom w:val="none" w:sz="0" w:space="0"/>
            <w:right w:val="none" w:sz="0" w:space="0"/>
          </w:pgBorders>
          <w:pgNumType w:fmt="decimal"/>
          <w:cols w:space="425" w:num="1"/>
          <w:titlePg/>
          <w:docGrid w:linePitch="312" w:charSpace="0"/>
        </w:sectPr>
      </w:pPr>
      <w:r>
        <w:rPr>
          <w:rFonts w:hint="eastAsia"/>
          <w:b/>
          <w:color w:val="000000"/>
          <w:sz w:val="32"/>
          <w:szCs w:val="32"/>
          <w:lang w:val="en-US" w:eastAsia="zh-CN"/>
        </w:rPr>
        <w:t>2021</w:t>
      </w:r>
      <w:r>
        <w:rPr>
          <w:rFonts w:ascii="Times New Roman" w:hAnsi="Times New Roman"/>
          <w:b/>
          <w:color w:val="000000"/>
          <w:sz w:val="32"/>
          <w:szCs w:val="32"/>
        </w:rPr>
        <w:t>年</w:t>
      </w:r>
      <w:r>
        <w:rPr>
          <w:rFonts w:hint="eastAsia"/>
          <w:b/>
          <w:color w:val="000000"/>
          <w:sz w:val="32"/>
          <w:szCs w:val="32"/>
          <w:lang w:val="en-US" w:eastAsia="zh-CN"/>
        </w:rPr>
        <w:t>2</w:t>
      </w:r>
      <w:r>
        <w:rPr>
          <w:rFonts w:ascii="Times New Roman" w:hAnsi="Times New Roman"/>
          <w:b/>
          <w:color w:val="000000"/>
          <w:sz w:val="32"/>
          <w:szCs w:val="32"/>
        </w:rPr>
        <w:t>月</w:t>
      </w:r>
    </w:p>
    <w:p>
      <w:pPr>
        <w:jc w:val="center"/>
        <w:rPr>
          <w:rFonts w:ascii="Times New Roman" w:hAnsi="Times New Roman" w:eastAsia="仿宋_GB2312"/>
          <w:color w:val="000000"/>
        </w:rPr>
      </w:pPr>
    </w:p>
    <w:p>
      <w:pPr>
        <w:pStyle w:val="16"/>
        <w:rPr>
          <w:rFonts w:ascii="Times New Roman" w:hAnsi="Times New Roman" w:eastAsia="仿宋_GB2312"/>
          <w:color w:val="000000"/>
        </w:rPr>
      </w:pPr>
      <w:bookmarkStart w:id="210" w:name="_GoBack"/>
      <w:r>
        <w:rPr>
          <w:rFonts w:hint="eastAsia" w:ascii="Times New Roman" w:hAnsi="Times New Roman" w:eastAsia="仿宋_GB2312"/>
          <w:b/>
          <w:sz w:val="40"/>
          <w:szCs w:val="40"/>
          <w:lang w:eastAsia="zh-CN"/>
        </w:rPr>
        <w:drawing>
          <wp:anchor distT="0" distB="0" distL="114300" distR="114300" simplePos="0" relativeHeight="251663360" behindDoc="0" locked="0" layoutInCell="1" allowOverlap="1">
            <wp:simplePos x="0" y="0"/>
            <wp:positionH relativeFrom="column">
              <wp:posOffset>-96520</wp:posOffset>
            </wp:positionH>
            <wp:positionV relativeFrom="paragraph">
              <wp:posOffset>246380</wp:posOffset>
            </wp:positionV>
            <wp:extent cx="5515610" cy="4378325"/>
            <wp:effectExtent l="0" t="0" r="8890" b="3175"/>
            <wp:wrapNone/>
            <wp:docPr id="32" name="图片 1" descr="9aa84ecaeab3055e95dd62cbc2eea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descr="9aa84ecaeab3055e95dd62cbc2eea5f"/>
                    <pic:cNvPicPr>
                      <a:picLocks noChangeAspect="1"/>
                    </pic:cNvPicPr>
                  </pic:nvPicPr>
                  <pic:blipFill>
                    <a:blip r:embed="rId26"/>
                    <a:stretch>
                      <a:fillRect/>
                    </a:stretch>
                  </pic:blipFill>
                  <pic:spPr>
                    <a:xfrm>
                      <a:off x="0" y="0"/>
                      <a:ext cx="5515610" cy="4378325"/>
                    </a:xfrm>
                    <a:prstGeom prst="rect">
                      <a:avLst/>
                    </a:prstGeom>
                    <a:noFill/>
                    <a:ln>
                      <a:noFill/>
                    </a:ln>
                  </pic:spPr>
                </pic:pic>
              </a:graphicData>
            </a:graphic>
          </wp:anchor>
        </w:drawing>
      </w:r>
      <w:bookmarkEnd w:id="210"/>
    </w:p>
    <w:p>
      <w:pPr>
        <w:pStyle w:val="16"/>
        <w:rPr>
          <w:rFonts w:ascii="Times New Roman" w:hAnsi="Times New Roman" w:eastAsia="仿宋_GB2312"/>
          <w:color w:val="000000"/>
        </w:rPr>
      </w:pPr>
    </w:p>
    <w:p>
      <w:pPr>
        <w:pStyle w:val="16"/>
        <w:rPr>
          <w:rFonts w:ascii="Times New Roman" w:hAnsi="Times New Roman" w:eastAsia="仿宋_GB2312"/>
          <w:color w:val="000000"/>
        </w:rPr>
      </w:pPr>
    </w:p>
    <w:p>
      <w:pPr>
        <w:pStyle w:val="16"/>
        <w:rPr>
          <w:rFonts w:ascii="Times New Roman" w:hAnsi="Times New Roman" w:eastAsia="仿宋_GB2312"/>
          <w:color w:val="000000"/>
        </w:rPr>
      </w:pPr>
    </w:p>
    <w:p>
      <w:pPr>
        <w:pStyle w:val="16"/>
        <w:rPr>
          <w:rFonts w:ascii="Times New Roman" w:hAnsi="Times New Roman" w:eastAsia="仿宋_GB2312"/>
          <w:color w:val="000000"/>
        </w:rPr>
      </w:pPr>
    </w:p>
    <w:p>
      <w:pPr>
        <w:pStyle w:val="16"/>
        <w:rPr>
          <w:rFonts w:ascii="Times New Roman" w:hAnsi="Times New Roman" w:eastAsia="仿宋_GB2312"/>
          <w:color w:val="000000"/>
        </w:rPr>
      </w:pPr>
    </w:p>
    <w:p>
      <w:pPr>
        <w:pStyle w:val="16"/>
        <w:rPr>
          <w:rFonts w:ascii="Times New Roman" w:hAnsi="Times New Roman" w:eastAsia="仿宋_GB2312"/>
          <w:color w:val="000000"/>
        </w:rPr>
      </w:pPr>
    </w:p>
    <w:p>
      <w:pPr>
        <w:pStyle w:val="16"/>
        <w:rPr>
          <w:rFonts w:ascii="Times New Roman" w:hAnsi="Times New Roman" w:eastAsia="仿宋_GB2312"/>
          <w:color w:val="000000"/>
        </w:rPr>
      </w:pPr>
    </w:p>
    <w:p>
      <w:pPr>
        <w:pStyle w:val="16"/>
        <w:rPr>
          <w:rFonts w:ascii="Times New Roman" w:hAnsi="Times New Roman" w:eastAsia="仿宋_GB2312"/>
          <w:color w:val="000000"/>
        </w:rPr>
      </w:pPr>
    </w:p>
    <w:p>
      <w:pPr>
        <w:pStyle w:val="16"/>
        <w:rPr>
          <w:rFonts w:ascii="Times New Roman" w:hAnsi="Times New Roman" w:eastAsia="仿宋_GB2312"/>
          <w:color w:val="000000"/>
        </w:rPr>
      </w:pPr>
    </w:p>
    <w:p>
      <w:pPr>
        <w:pStyle w:val="16"/>
        <w:rPr>
          <w:rFonts w:ascii="Times New Roman" w:hAnsi="Times New Roman" w:eastAsia="仿宋_GB2312"/>
          <w:color w:val="000000"/>
        </w:rPr>
      </w:pPr>
    </w:p>
    <w:p>
      <w:pPr>
        <w:adjustRightInd w:val="0"/>
        <w:snapToGrid w:val="0"/>
        <w:spacing w:before="240" w:after="120" w:afterLines="50"/>
        <w:ind w:firstLine="420"/>
        <w:rPr>
          <w:rFonts w:ascii="Times New Roman" w:hAnsi="Times New Roman" w:eastAsia="仿宋_GB2312"/>
          <w:b/>
          <w:color w:val="000000"/>
          <w:sz w:val="30"/>
          <w:szCs w:val="30"/>
        </w:rPr>
      </w:pPr>
    </w:p>
    <w:p>
      <w:pPr>
        <w:adjustRightInd w:val="0"/>
        <w:snapToGrid w:val="0"/>
        <w:spacing w:before="240" w:after="120" w:afterLines="50"/>
        <w:ind w:firstLine="420"/>
        <w:rPr>
          <w:rFonts w:ascii="Times New Roman" w:hAnsi="Times New Roman" w:eastAsia="仿宋_GB2312"/>
          <w:b/>
          <w:color w:val="000000"/>
          <w:sz w:val="30"/>
          <w:szCs w:val="30"/>
        </w:rPr>
      </w:pPr>
    </w:p>
    <w:p>
      <w:pPr>
        <w:adjustRightInd w:val="0"/>
        <w:snapToGrid w:val="0"/>
        <w:spacing w:before="240" w:after="120" w:afterLines="50"/>
        <w:ind w:firstLine="420"/>
        <w:rPr>
          <w:rFonts w:ascii="Times New Roman" w:hAnsi="Times New Roman" w:eastAsia="仿宋_GB2312"/>
          <w:b/>
          <w:color w:val="000000"/>
          <w:sz w:val="30"/>
          <w:szCs w:val="30"/>
        </w:rPr>
      </w:pPr>
    </w:p>
    <w:p>
      <w:pPr>
        <w:adjustRightInd w:val="0"/>
        <w:snapToGrid w:val="0"/>
        <w:spacing w:before="240" w:after="120" w:afterLines="50"/>
        <w:ind w:firstLine="420"/>
        <w:rPr>
          <w:rFonts w:ascii="Times New Roman" w:hAnsi="Times New Roman" w:eastAsia="仿宋_GB2312"/>
          <w:b/>
          <w:color w:val="000000"/>
          <w:sz w:val="30"/>
          <w:szCs w:val="30"/>
        </w:rPr>
      </w:pPr>
    </w:p>
    <w:p>
      <w:pPr>
        <w:adjustRightInd w:val="0"/>
        <w:snapToGrid w:val="0"/>
        <w:spacing w:before="240" w:after="120" w:afterLines="50"/>
        <w:ind w:left="0" w:leftChars="0" w:firstLine="0" w:firstLineChars="0"/>
        <w:rPr>
          <w:rFonts w:ascii="Times New Roman" w:hAnsi="Times New Roman" w:eastAsia="仿宋_GB2312"/>
          <w:b/>
          <w:color w:val="000000"/>
          <w:sz w:val="30"/>
          <w:szCs w:val="30"/>
        </w:rPr>
      </w:pPr>
    </w:p>
    <w:p>
      <w:pPr>
        <w:widowControl/>
        <w:adjustRightInd w:val="0"/>
        <w:snapToGrid w:val="0"/>
        <w:spacing w:line="360" w:lineRule="auto"/>
        <w:ind w:firstLine="320" w:firstLineChars="100"/>
        <w:jc w:val="left"/>
        <w:rPr>
          <w:sz w:val="32"/>
          <w:szCs w:val="32"/>
        </w:rPr>
      </w:pPr>
      <w:r>
        <w:rPr>
          <w:rFonts w:eastAsia="黑体"/>
          <w:sz w:val="32"/>
          <w:szCs w:val="32"/>
        </w:rPr>
        <w:t>单位地址：</w:t>
      </w:r>
      <w:r>
        <w:rPr>
          <w:rFonts w:hint="eastAsia" w:ascii="宋体" w:hAnsi="宋体"/>
          <w:sz w:val="32"/>
          <w:szCs w:val="32"/>
        </w:rPr>
        <w:t>湛江</w:t>
      </w:r>
      <w:r>
        <w:rPr>
          <w:rFonts w:hint="eastAsia" w:ascii="宋体" w:hAnsi="宋体"/>
          <w:sz w:val="32"/>
          <w:szCs w:val="32"/>
          <w:lang w:val="en-US" w:eastAsia="zh-CN"/>
        </w:rPr>
        <w:t>经济技术</w:t>
      </w:r>
      <w:r>
        <w:rPr>
          <w:rFonts w:hint="eastAsia" w:ascii="宋体" w:hAnsi="宋体"/>
          <w:sz w:val="32"/>
          <w:szCs w:val="32"/>
        </w:rPr>
        <w:t>开发区</w:t>
      </w:r>
      <w:r>
        <w:rPr>
          <w:rFonts w:hint="eastAsia" w:ascii="宋体" w:hAnsi="宋体"/>
          <w:sz w:val="32"/>
          <w:szCs w:val="32"/>
          <w:lang w:val="en-US" w:eastAsia="zh-CN"/>
        </w:rPr>
        <w:t>乐山东路35号</w:t>
      </w:r>
      <w:r>
        <w:rPr>
          <w:rFonts w:hint="eastAsia" w:ascii="宋体" w:hAnsi="宋体"/>
          <w:sz w:val="32"/>
          <w:szCs w:val="32"/>
        </w:rPr>
        <w:t>银隆</w:t>
      </w:r>
      <w:r>
        <w:rPr>
          <w:rFonts w:hint="eastAsia" w:ascii="宋体" w:hAnsi="宋体"/>
          <w:sz w:val="32"/>
          <w:szCs w:val="32"/>
          <w:lang w:val="en-US" w:eastAsia="zh-CN"/>
        </w:rPr>
        <w:t>广场</w:t>
      </w:r>
      <w:r>
        <w:rPr>
          <w:rFonts w:hint="eastAsia" w:ascii="宋体" w:hAnsi="宋体"/>
          <w:sz w:val="32"/>
          <w:szCs w:val="32"/>
        </w:rPr>
        <w:t xml:space="preserve">A903 </w:t>
      </w:r>
      <w:r>
        <w:rPr>
          <w:rFonts w:ascii="宋体" w:hAnsi="宋体"/>
          <w:sz w:val="32"/>
          <w:szCs w:val="32"/>
        </w:rPr>
        <w:t xml:space="preserve"> </w:t>
      </w:r>
    </w:p>
    <w:p>
      <w:pPr>
        <w:widowControl/>
        <w:adjustRightInd w:val="0"/>
        <w:snapToGrid w:val="0"/>
        <w:spacing w:line="360" w:lineRule="auto"/>
        <w:ind w:firstLine="320" w:firstLineChars="100"/>
        <w:jc w:val="left"/>
        <w:rPr>
          <w:rFonts w:eastAsia="黑体"/>
          <w:sz w:val="32"/>
          <w:szCs w:val="32"/>
        </w:rPr>
      </w:pPr>
      <w:r>
        <w:rPr>
          <w:rFonts w:eastAsia="黑体"/>
          <w:sz w:val="32"/>
          <w:szCs w:val="32"/>
        </w:rPr>
        <w:t>邮政编码：</w:t>
      </w:r>
      <w:r>
        <w:rPr>
          <w:rFonts w:hint="eastAsia" w:eastAsia="黑体"/>
          <w:sz w:val="32"/>
          <w:szCs w:val="32"/>
        </w:rPr>
        <w:t>524000</w:t>
      </w:r>
    </w:p>
    <w:p>
      <w:pPr>
        <w:widowControl/>
        <w:adjustRightInd w:val="0"/>
        <w:snapToGrid w:val="0"/>
        <w:spacing w:line="360" w:lineRule="auto"/>
        <w:ind w:firstLine="320" w:firstLineChars="100"/>
        <w:jc w:val="left"/>
        <w:rPr>
          <w:sz w:val="32"/>
          <w:szCs w:val="32"/>
        </w:rPr>
      </w:pPr>
      <w:r>
        <w:rPr>
          <w:rFonts w:eastAsia="黑体"/>
          <w:sz w:val="32"/>
          <w:szCs w:val="32"/>
        </w:rPr>
        <w:t>联系人：</w:t>
      </w:r>
      <w:r>
        <w:rPr>
          <w:rFonts w:hint="eastAsia" w:ascii="宋体" w:hAnsi="宋体" w:eastAsia="黑体"/>
          <w:sz w:val="32"/>
          <w:szCs w:val="32"/>
          <w:lang w:val="en-US" w:eastAsia="zh-CN"/>
        </w:rPr>
        <w:t>陆玲</w:t>
      </w:r>
      <w:r>
        <w:rPr>
          <w:rFonts w:ascii="宋体" w:hAnsi="宋体"/>
          <w:sz w:val="32"/>
          <w:szCs w:val="32"/>
        </w:rPr>
        <w:t xml:space="preserve"> </w:t>
      </w:r>
    </w:p>
    <w:p>
      <w:pPr>
        <w:widowControl/>
        <w:adjustRightInd w:val="0"/>
        <w:snapToGrid w:val="0"/>
        <w:spacing w:line="360" w:lineRule="auto"/>
        <w:ind w:firstLine="320" w:firstLineChars="100"/>
        <w:jc w:val="left"/>
        <w:rPr>
          <w:rFonts w:hint="default" w:eastAsia="黑体"/>
          <w:sz w:val="32"/>
          <w:szCs w:val="32"/>
          <w:lang w:val="en-US" w:eastAsia="zh-CN"/>
        </w:rPr>
      </w:pPr>
      <w:r>
        <w:rPr>
          <w:rFonts w:eastAsia="黑体"/>
          <w:sz w:val="32"/>
          <w:szCs w:val="32"/>
        </w:rPr>
        <w:t>联系电话：</w:t>
      </w:r>
      <w:r>
        <w:rPr>
          <w:rFonts w:hint="eastAsia" w:eastAsia="黑体"/>
          <w:sz w:val="32"/>
          <w:szCs w:val="32"/>
        </w:rPr>
        <w:t>1</w:t>
      </w:r>
      <w:r>
        <w:rPr>
          <w:rFonts w:hint="eastAsia" w:eastAsia="黑体"/>
          <w:sz w:val="32"/>
          <w:szCs w:val="32"/>
          <w:lang w:val="en-US" w:eastAsia="zh-CN"/>
        </w:rPr>
        <w:t>5812372721</w:t>
      </w:r>
    </w:p>
    <w:p>
      <w:pPr>
        <w:adjustRightInd w:val="0"/>
        <w:snapToGrid w:val="0"/>
        <w:spacing w:before="240" w:after="120" w:afterLines="50"/>
        <w:ind w:firstLine="420"/>
        <w:rPr>
          <w:rFonts w:ascii="Times New Roman" w:hAnsi="Times New Roman" w:eastAsia="仿宋_GB2312"/>
          <w:color w:val="000000"/>
          <w:sz w:val="30"/>
          <w:szCs w:val="30"/>
        </w:rPr>
        <w:sectPr>
          <w:headerReference r:id="rId11" w:type="even"/>
          <w:pgSz w:w="11907" w:h="16840"/>
          <w:pgMar w:top="1418" w:right="1418" w:bottom="1418" w:left="1701" w:header="851" w:footer="992" w:gutter="0"/>
          <w:pgBorders>
            <w:top w:val="none" w:sz="0" w:space="0"/>
            <w:left w:val="none" w:sz="0" w:space="0"/>
            <w:bottom w:val="none" w:sz="0" w:space="0"/>
            <w:right w:val="none" w:sz="0" w:space="0"/>
          </w:pgBorders>
          <w:pgNumType w:fmt="decimal"/>
          <w:cols w:space="425" w:num="1"/>
          <w:docGrid w:linePitch="312" w:charSpace="0"/>
        </w:sectPr>
      </w:pPr>
      <w:r>
        <w:rPr>
          <w:rFonts w:ascii="Times New Roman" w:hAnsi="Times New Roman" w:eastAsia="仿宋_GB2312"/>
          <w:color w:val="000000"/>
          <w:sz w:val="30"/>
          <w:szCs w:val="30"/>
        </w:rPr>
        <w:t xml:space="preserve"> </w:t>
      </w:r>
    </w:p>
    <w:p>
      <w:pPr>
        <w:spacing w:line="360" w:lineRule="auto"/>
        <w:rPr>
          <w:rFonts w:ascii="Times New Roman" w:hAnsi="Times New Roman" w:eastAsia="仿宋_GB2312"/>
          <w:b/>
          <w:color w:val="000000"/>
          <w:sz w:val="18"/>
          <w:szCs w:val="18"/>
        </w:rPr>
      </w:pPr>
    </w:p>
    <w:p>
      <w:pPr>
        <w:spacing w:line="360" w:lineRule="auto"/>
        <w:jc w:val="center"/>
        <w:rPr>
          <w:rFonts w:ascii="Times New Roman" w:hAnsi="Times New Roman" w:eastAsia="仿宋_GB2312"/>
          <w:sz w:val="32"/>
          <w:szCs w:val="32"/>
        </w:rPr>
      </w:pPr>
    </w:p>
    <w:p>
      <w:pPr>
        <w:spacing w:line="360" w:lineRule="auto"/>
        <w:ind w:left="0" w:leftChars="0" w:firstLine="0" w:firstLineChars="0"/>
        <w:jc w:val="center"/>
        <w:rPr>
          <w:rFonts w:hint="eastAsia" w:ascii="Times New Roman" w:hAnsi="Times New Roman" w:eastAsia="仿宋_GB2312"/>
          <w:b w:val="0"/>
          <w:bCs/>
          <w:sz w:val="32"/>
          <w:szCs w:val="32"/>
          <w:lang w:eastAsia="zh-CN"/>
        </w:rPr>
      </w:pPr>
      <w:r>
        <w:rPr>
          <w:rFonts w:hint="eastAsia"/>
          <w:b w:val="0"/>
          <w:bCs/>
          <w:sz w:val="32"/>
          <w:szCs w:val="32"/>
          <w:lang w:eastAsia="zh-CN"/>
        </w:rPr>
        <w:t>东海岛15万m³/d 自来水厂工程</w:t>
      </w:r>
    </w:p>
    <w:p>
      <w:pPr>
        <w:spacing w:line="360" w:lineRule="auto"/>
        <w:ind w:left="0" w:leftChars="0" w:firstLine="0" w:firstLineChars="0"/>
        <w:jc w:val="center"/>
        <w:rPr>
          <w:rFonts w:ascii="Times New Roman" w:hAnsi="Times New Roman"/>
          <w:b w:val="0"/>
          <w:bCs/>
          <w:sz w:val="32"/>
          <w:szCs w:val="32"/>
        </w:rPr>
      </w:pPr>
      <w:r>
        <w:rPr>
          <w:rFonts w:ascii="Times New Roman" w:hAnsi="Times New Roman"/>
          <w:b w:val="0"/>
          <w:bCs/>
          <w:sz w:val="32"/>
          <w:szCs w:val="32"/>
        </w:rPr>
        <w:t>水土保持监测总结报告</w:t>
      </w:r>
    </w:p>
    <w:p>
      <w:pPr>
        <w:spacing w:line="360" w:lineRule="auto"/>
        <w:ind w:left="0" w:leftChars="0" w:firstLine="0" w:firstLineChars="0"/>
        <w:jc w:val="center"/>
        <w:rPr>
          <w:rFonts w:ascii="Times New Roman" w:hAnsi="Times New Roman"/>
          <w:b w:val="0"/>
          <w:bCs/>
          <w:sz w:val="32"/>
          <w:szCs w:val="32"/>
        </w:rPr>
      </w:pPr>
      <w:r>
        <w:rPr>
          <w:rFonts w:ascii="Times New Roman" w:hAnsi="Times New Roman"/>
          <w:b w:val="0"/>
          <w:bCs/>
          <w:sz w:val="32"/>
          <w:szCs w:val="32"/>
        </w:rPr>
        <w:t>责任页</w:t>
      </w:r>
    </w:p>
    <w:p>
      <w:pPr>
        <w:spacing w:line="360" w:lineRule="auto"/>
        <w:ind w:left="0" w:leftChars="0" w:firstLine="0" w:firstLineChars="0"/>
        <w:jc w:val="center"/>
        <w:rPr>
          <w:rFonts w:ascii="Times New Roman" w:hAnsi="Times New Roman"/>
          <w:sz w:val="28"/>
          <w:szCs w:val="32"/>
        </w:rPr>
      </w:pPr>
      <w:r>
        <w:rPr>
          <w:rFonts w:ascii="Times New Roman" w:hAnsi="Times New Roman"/>
          <w:sz w:val="28"/>
          <w:szCs w:val="32"/>
        </w:rPr>
        <w:t>（</w:t>
      </w:r>
      <w:r>
        <w:rPr>
          <w:rFonts w:hint="eastAsia"/>
          <w:sz w:val="28"/>
          <w:szCs w:val="32"/>
          <w:lang w:eastAsia="zh-CN"/>
        </w:rPr>
        <w:t>广东环晟水利环境科技有限公司</w:t>
      </w:r>
      <w:r>
        <w:rPr>
          <w:rFonts w:ascii="Times New Roman" w:hAnsi="Times New Roman"/>
          <w:sz w:val="28"/>
          <w:szCs w:val="32"/>
        </w:rPr>
        <w:t>）</w:t>
      </w:r>
    </w:p>
    <w:p>
      <w:pPr>
        <w:spacing w:line="360" w:lineRule="auto"/>
        <w:ind w:firstLine="720" w:firstLineChars="300"/>
        <w:rPr>
          <w:rFonts w:ascii="Times New Roman" w:hAnsi="Times New Roman"/>
          <w:sz w:val="32"/>
          <w:szCs w:val="32"/>
        </w:rPr>
      </w:pPr>
      <w:r>
        <w:drawing>
          <wp:anchor distT="0" distB="0" distL="114300" distR="114300" simplePos="0" relativeHeight="251671552" behindDoc="0" locked="0" layoutInCell="1" allowOverlap="1">
            <wp:simplePos x="0" y="0"/>
            <wp:positionH relativeFrom="column">
              <wp:posOffset>3044825</wp:posOffset>
            </wp:positionH>
            <wp:positionV relativeFrom="paragraph">
              <wp:posOffset>241935</wp:posOffset>
            </wp:positionV>
            <wp:extent cx="866775" cy="455295"/>
            <wp:effectExtent l="0" t="0" r="9525" b="1905"/>
            <wp:wrapNone/>
            <wp:docPr id="3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7"/>
                    <pic:cNvPicPr>
                      <a:picLocks noChangeAspect="1"/>
                    </pic:cNvPicPr>
                  </pic:nvPicPr>
                  <pic:blipFill>
                    <a:blip r:embed="rId27"/>
                    <a:stretch>
                      <a:fillRect/>
                    </a:stretch>
                  </pic:blipFill>
                  <pic:spPr>
                    <a:xfrm>
                      <a:off x="0" y="0"/>
                      <a:ext cx="866775" cy="455295"/>
                    </a:xfrm>
                    <a:prstGeom prst="rect">
                      <a:avLst/>
                    </a:prstGeom>
                    <a:noFill/>
                    <a:ln>
                      <a:noFill/>
                    </a:ln>
                  </pic:spPr>
                </pic:pic>
              </a:graphicData>
            </a:graphic>
          </wp:anchor>
        </w:drawing>
      </w:r>
    </w:p>
    <w:p>
      <w:pPr>
        <w:adjustRightInd w:val="0"/>
        <w:snapToGrid w:val="0"/>
        <w:spacing w:after="120"/>
        <w:ind w:left="480" w:leftChars="200" w:firstLine="640"/>
        <w:rPr>
          <w:sz w:val="32"/>
          <w:szCs w:val="32"/>
        </w:rPr>
      </w:pPr>
      <w:r>
        <w:rPr>
          <w:sz w:val="32"/>
          <w:szCs w:val="32"/>
        </w:rPr>
        <w:drawing>
          <wp:anchor distT="0" distB="0" distL="114300" distR="114300" simplePos="0" relativeHeight="251664384" behindDoc="0" locked="0" layoutInCell="1" allowOverlap="1">
            <wp:simplePos x="0" y="0"/>
            <wp:positionH relativeFrom="column">
              <wp:posOffset>3094355</wp:posOffset>
            </wp:positionH>
            <wp:positionV relativeFrom="paragraph">
              <wp:posOffset>386080</wp:posOffset>
            </wp:positionV>
            <wp:extent cx="746125" cy="350520"/>
            <wp:effectExtent l="0" t="0" r="15875" b="11430"/>
            <wp:wrapNone/>
            <wp:docPr id="1" name="图片 20" descr="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0" descr="范"/>
                    <pic:cNvPicPr>
                      <a:picLocks noChangeAspect="1" noChangeArrowheads="1"/>
                    </pic:cNvPicPr>
                  </pic:nvPicPr>
                  <pic:blipFill>
                    <a:blip r:embed="rId28"/>
                    <a:srcRect/>
                    <a:stretch>
                      <a:fillRect/>
                    </a:stretch>
                  </pic:blipFill>
                  <pic:spPr>
                    <a:xfrm>
                      <a:off x="0" y="0"/>
                      <a:ext cx="746125" cy="350520"/>
                    </a:xfrm>
                    <a:prstGeom prst="rect">
                      <a:avLst/>
                    </a:prstGeom>
                    <a:noFill/>
                    <a:ln w="9525">
                      <a:noFill/>
                      <a:miter lim="800000"/>
                      <a:headEnd/>
                      <a:tailEnd/>
                    </a:ln>
                  </pic:spPr>
                </pic:pic>
              </a:graphicData>
            </a:graphic>
          </wp:anchor>
        </w:drawing>
      </w:r>
      <w:r>
        <w:rPr>
          <w:rFonts w:eastAsia="黑体"/>
          <w:sz w:val="32"/>
          <w:szCs w:val="32"/>
        </w:rPr>
        <w:t>批准：</w:t>
      </w:r>
      <w:r>
        <w:rPr>
          <w:rFonts w:hint="eastAsia" w:eastAsia="黑体"/>
          <w:sz w:val="32"/>
          <w:szCs w:val="32"/>
          <w:lang w:eastAsia="zh-CN"/>
        </w:rPr>
        <w:t>王辉文</w:t>
      </w:r>
      <w:r>
        <w:rPr>
          <w:rFonts w:hint="eastAsia"/>
          <w:sz w:val="32"/>
          <w:szCs w:val="32"/>
        </w:rPr>
        <w:t>（工程师）</w:t>
      </w:r>
    </w:p>
    <w:p>
      <w:pPr>
        <w:adjustRightInd w:val="0"/>
        <w:snapToGrid w:val="0"/>
        <w:spacing w:after="120"/>
        <w:ind w:left="480" w:leftChars="200" w:firstLine="640"/>
        <w:rPr>
          <w:b/>
          <w:sz w:val="32"/>
          <w:szCs w:val="32"/>
        </w:rPr>
      </w:pPr>
      <w:r>
        <w:rPr>
          <w:sz w:val="32"/>
          <w:szCs w:val="32"/>
        </w:rPr>
        <w:drawing>
          <wp:anchor distT="0" distB="0" distL="114300" distR="114300" simplePos="0" relativeHeight="251665408" behindDoc="0" locked="0" layoutInCell="1" allowOverlap="1">
            <wp:simplePos x="0" y="0"/>
            <wp:positionH relativeFrom="column">
              <wp:posOffset>3486785</wp:posOffset>
            </wp:positionH>
            <wp:positionV relativeFrom="paragraph">
              <wp:posOffset>373380</wp:posOffset>
            </wp:positionV>
            <wp:extent cx="849630" cy="361315"/>
            <wp:effectExtent l="0" t="0" r="7620" b="635"/>
            <wp:wrapNone/>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noChangeArrowheads="1"/>
                    </pic:cNvPicPr>
                  </pic:nvPicPr>
                  <pic:blipFill>
                    <a:blip r:embed="rId29"/>
                    <a:srcRect/>
                    <a:stretch>
                      <a:fillRect/>
                    </a:stretch>
                  </pic:blipFill>
                  <pic:spPr>
                    <a:xfrm>
                      <a:off x="0" y="0"/>
                      <a:ext cx="849630" cy="361315"/>
                    </a:xfrm>
                    <a:prstGeom prst="rect">
                      <a:avLst/>
                    </a:prstGeom>
                    <a:noFill/>
                    <a:ln w="9525">
                      <a:noFill/>
                      <a:miter lim="800000"/>
                      <a:headEnd/>
                      <a:tailEnd/>
                    </a:ln>
                  </pic:spPr>
                </pic:pic>
              </a:graphicData>
            </a:graphic>
          </wp:anchor>
        </w:drawing>
      </w:r>
      <w:r>
        <w:rPr>
          <w:rFonts w:eastAsia="黑体"/>
          <w:sz w:val="32"/>
          <w:szCs w:val="32"/>
        </w:rPr>
        <w:t>核定：</w:t>
      </w:r>
      <w:r>
        <w:rPr>
          <w:rFonts w:hint="eastAsia"/>
          <w:sz w:val="32"/>
          <w:szCs w:val="32"/>
        </w:rPr>
        <w:t>范东成（工程师）</w:t>
      </w:r>
      <w:r>
        <w:rPr>
          <w:sz w:val="32"/>
          <w:szCs w:val="32"/>
        </w:rPr>
        <w:t xml:space="preserve"> </w:t>
      </w:r>
    </w:p>
    <w:p>
      <w:pPr>
        <w:adjustRightInd w:val="0"/>
        <w:snapToGrid w:val="0"/>
        <w:spacing w:after="120"/>
        <w:ind w:left="480" w:leftChars="200" w:firstLine="640"/>
        <w:rPr>
          <w:sz w:val="32"/>
          <w:szCs w:val="32"/>
        </w:rPr>
      </w:pPr>
      <w:r>
        <w:rPr>
          <w:rFonts w:eastAsia="黑体"/>
          <w:sz w:val="32"/>
          <w:szCs w:val="32"/>
        </w:rPr>
        <w:drawing>
          <wp:anchor distT="0" distB="0" distL="114300" distR="114300" simplePos="0" relativeHeight="251666432" behindDoc="0" locked="0" layoutInCell="1" allowOverlap="1">
            <wp:simplePos x="0" y="0"/>
            <wp:positionH relativeFrom="column">
              <wp:posOffset>3770630</wp:posOffset>
            </wp:positionH>
            <wp:positionV relativeFrom="paragraph">
              <wp:posOffset>433705</wp:posOffset>
            </wp:positionV>
            <wp:extent cx="641985" cy="307975"/>
            <wp:effectExtent l="0" t="0" r="5715" b="15875"/>
            <wp:wrapNone/>
            <wp:docPr id="5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
                    <pic:cNvPicPr>
                      <a:picLocks noChangeAspect="1" noChangeArrowheads="1"/>
                    </pic:cNvPicPr>
                  </pic:nvPicPr>
                  <pic:blipFill>
                    <a:blip r:embed="rId30"/>
                    <a:srcRect/>
                    <a:stretch>
                      <a:fillRect/>
                    </a:stretch>
                  </pic:blipFill>
                  <pic:spPr>
                    <a:xfrm>
                      <a:off x="0" y="0"/>
                      <a:ext cx="641985" cy="307975"/>
                    </a:xfrm>
                    <a:prstGeom prst="rect">
                      <a:avLst/>
                    </a:prstGeom>
                    <a:noFill/>
                    <a:ln w="9525">
                      <a:noFill/>
                      <a:miter lim="800000"/>
                      <a:headEnd/>
                      <a:tailEnd/>
                    </a:ln>
                  </pic:spPr>
                </pic:pic>
              </a:graphicData>
            </a:graphic>
          </wp:anchor>
        </w:drawing>
      </w:r>
      <w:r>
        <w:rPr>
          <w:rFonts w:eastAsia="黑体"/>
          <w:sz w:val="32"/>
          <w:szCs w:val="32"/>
        </w:rPr>
        <w:t>审查：</w:t>
      </w:r>
      <w:r>
        <w:rPr>
          <w:rFonts w:hint="eastAsia"/>
          <w:sz w:val="32"/>
          <w:szCs w:val="32"/>
        </w:rPr>
        <w:t>李星辉（助理工程师）</w:t>
      </w:r>
    </w:p>
    <w:p>
      <w:pPr>
        <w:adjustRightInd w:val="0"/>
        <w:snapToGrid w:val="0"/>
        <w:spacing w:after="120"/>
        <w:ind w:left="480" w:leftChars="200" w:firstLine="720" w:firstLineChars="300"/>
        <w:rPr>
          <w:sz w:val="32"/>
          <w:szCs w:val="32"/>
        </w:rPr>
      </w:pPr>
      <w:r>
        <w:drawing>
          <wp:anchor distT="0" distB="0" distL="114300" distR="114300" simplePos="0" relativeHeight="251670528" behindDoc="0" locked="0" layoutInCell="1" allowOverlap="1">
            <wp:simplePos x="0" y="0"/>
            <wp:positionH relativeFrom="column">
              <wp:posOffset>3576955</wp:posOffset>
            </wp:positionH>
            <wp:positionV relativeFrom="paragraph">
              <wp:posOffset>394970</wp:posOffset>
            </wp:positionV>
            <wp:extent cx="866775" cy="455295"/>
            <wp:effectExtent l="0" t="0" r="9525" b="1905"/>
            <wp:wrapNone/>
            <wp:docPr id="3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7"/>
                    <pic:cNvPicPr>
                      <a:picLocks noChangeAspect="1"/>
                    </pic:cNvPicPr>
                  </pic:nvPicPr>
                  <pic:blipFill>
                    <a:blip r:embed="rId27"/>
                    <a:stretch>
                      <a:fillRect/>
                    </a:stretch>
                  </pic:blipFill>
                  <pic:spPr>
                    <a:xfrm>
                      <a:off x="0" y="0"/>
                      <a:ext cx="866775" cy="455295"/>
                    </a:xfrm>
                    <a:prstGeom prst="rect">
                      <a:avLst/>
                    </a:prstGeom>
                    <a:noFill/>
                    <a:ln>
                      <a:noFill/>
                    </a:ln>
                  </pic:spPr>
                </pic:pic>
              </a:graphicData>
            </a:graphic>
          </wp:anchor>
        </w:drawing>
      </w:r>
      <w:r>
        <w:rPr>
          <w:rFonts w:eastAsia="黑体"/>
          <w:sz w:val="32"/>
          <w:szCs w:val="32"/>
        </w:rPr>
        <w:t>校核：</w:t>
      </w:r>
      <w:r>
        <w:rPr>
          <w:rFonts w:hint="eastAsia"/>
          <w:sz w:val="32"/>
          <w:szCs w:val="32"/>
        </w:rPr>
        <w:t>钟文雅（助理工程师）</w:t>
      </w:r>
    </w:p>
    <w:p>
      <w:pPr>
        <w:adjustRightInd w:val="0"/>
        <w:snapToGrid w:val="0"/>
        <w:spacing w:after="120"/>
        <w:ind w:left="480" w:leftChars="200" w:firstLine="600"/>
        <w:rPr>
          <w:sz w:val="30"/>
          <w:szCs w:val="30"/>
        </w:rPr>
      </w:pPr>
      <w:r>
        <w:rPr>
          <w:rFonts w:eastAsia="黑体"/>
          <w:sz w:val="30"/>
          <w:szCs w:val="30"/>
        </w:rPr>
        <w:drawing>
          <wp:anchor distT="0" distB="0" distL="114300" distR="114300" simplePos="0" relativeHeight="251667456" behindDoc="0" locked="0" layoutInCell="1" allowOverlap="1">
            <wp:simplePos x="0" y="0"/>
            <wp:positionH relativeFrom="column">
              <wp:posOffset>4648200</wp:posOffset>
            </wp:positionH>
            <wp:positionV relativeFrom="paragraph">
              <wp:posOffset>351790</wp:posOffset>
            </wp:positionV>
            <wp:extent cx="746125" cy="350520"/>
            <wp:effectExtent l="0" t="0" r="15875" b="11430"/>
            <wp:wrapNone/>
            <wp:docPr id="60" name="图片 20" descr="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0" descr="范"/>
                    <pic:cNvPicPr>
                      <a:picLocks noChangeAspect="1" noChangeArrowheads="1"/>
                    </pic:cNvPicPr>
                  </pic:nvPicPr>
                  <pic:blipFill>
                    <a:blip r:embed="rId28"/>
                    <a:srcRect/>
                    <a:stretch>
                      <a:fillRect/>
                    </a:stretch>
                  </pic:blipFill>
                  <pic:spPr>
                    <a:xfrm>
                      <a:off x="0" y="0"/>
                      <a:ext cx="746125" cy="350520"/>
                    </a:xfrm>
                    <a:prstGeom prst="rect">
                      <a:avLst/>
                    </a:prstGeom>
                    <a:noFill/>
                    <a:ln w="9525">
                      <a:noFill/>
                      <a:miter lim="800000"/>
                      <a:headEnd/>
                      <a:tailEnd/>
                    </a:ln>
                  </pic:spPr>
                </pic:pic>
              </a:graphicData>
            </a:graphic>
          </wp:anchor>
        </w:drawing>
      </w:r>
      <w:r>
        <w:rPr>
          <w:rFonts w:eastAsia="黑体"/>
          <w:sz w:val="30"/>
          <w:szCs w:val="30"/>
        </w:rPr>
        <w:t>项目负责人：</w:t>
      </w:r>
      <w:r>
        <w:rPr>
          <w:rFonts w:hint="eastAsia" w:eastAsia="黑体"/>
          <w:sz w:val="32"/>
          <w:szCs w:val="32"/>
          <w:lang w:eastAsia="zh-CN"/>
        </w:rPr>
        <w:t>王辉文</w:t>
      </w:r>
      <w:r>
        <w:rPr>
          <w:rFonts w:hint="eastAsia"/>
          <w:sz w:val="32"/>
          <w:szCs w:val="32"/>
        </w:rPr>
        <w:t>（工程师）</w:t>
      </w:r>
    </w:p>
    <w:p>
      <w:pPr>
        <w:adjustRightInd w:val="0"/>
        <w:snapToGrid w:val="0"/>
        <w:spacing w:after="120"/>
        <w:ind w:left="480" w:leftChars="200" w:firstLine="600"/>
        <w:rPr>
          <w:sz w:val="30"/>
          <w:szCs w:val="30"/>
        </w:rPr>
      </w:pPr>
      <w:r>
        <w:rPr>
          <w:rFonts w:eastAsia="黑体"/>
          <w:sz w:val="30"/>
          <w:szCs w:val="30"/>
        </w:rPr>
        <w:drawing>
          <wp:anchor distT="0" distB="0" distL="114300" distR="114300" simplePos="0" relativeHeight="251668480" behindDoc="0" locked="0" layoutInCell="1" allowOverlap="1">
            <wp:simplePos x="0" y="0"/>
            <wp:positionH relativeFrom="column">
              <wp:posOffset>5020310</wp:posOffset>
            </wp:positionH>
            <wp:positionV relativeFrom="paragraph">
              <wp:posOffset>379730</wp:posOffset>
            </wp:positionV>
            <wp:extent cx="842010" cy="361315"/>
            <wp:effectExtent l="0" t="0" r="15240" b="635"/>
            <wp:wrapNone/>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noChangeArrowheads="1"/>
                    </pic:cNvPicPr>
                  </pic:nvPicPr>
                  <pic:blipFill>
                    <a:blip r:embed="rId31"/>
                    <a:srcRect/>
                    <a:stretch>
                      <a:fillRect/>
                    </a:stretch>
                  </pic:blipFill>
                  <pic:spPr>
                    <a:xfrm>
                      <a:off x="0" y="0"/>
                      <a:ext cx="842010" cy="361315"/>
                    </a:xfrm>
                    <a:prstGeom prst="rect">
                      <a:avLst/>
                    </a:prstGeom>
                    <a:noFill/>
                    <a:ln w="9525">
                      <a:noFill/>
                      <a:miter lim="800000"/>
                      <a:headEnd/>
                      <a:tailEnd/>
                    </a:ln>
                  </pic:spPr>
                </pic:pic>
              </a:graphicData>
            </a:graphic>
          </wp:anchor>
        </w:drawing>
      </w:r>
      <w:r>
        <w:rPr>
          <w:rFonts w:eastAsia="黑体"/>
          <w:sz w:val="30"/>
          <w:szCs w:val="30"/>
        </w:rPr>
        <w:t>编写：</w:t>
      </w:r>
      <w:r>
        <w:rPr>
          <w:rFonts w:hint="eastAsia"/>
          <w:sz w:val="30"/>
          <w:szCs w:val="30"/>
        </w:rPr>
        <w:t>范东成（工程师，报告编写，资料分析</w:t>
      </w:r>
      <w:r>
        <w:rPr>
          <w:sz w:val="30"/>
          <w:szCs w:val="30"/>
        </w:rPr>
        <w:t>）</w:t>
      </w:r>
    </w:p>
    <w:p>
      <w:pPr>
        <w:adjustRightInd w:val="0"/>
        <w:snapToGrid w:val="0"/>
        <w:spacing w:after="120"/>
        <w:ind w:left="480" w:leftChars="200" w:firstLine="600"/>
        <w:rPr>
          <w:sz w:val="30"/>
          <w:szCs w:val="30"/>
        </w:rPr>
      </w:pPr>
      <w:r>
        <w:rPr>
          <w:sz w:val="30"/>
          <w:szCs w:val="30"/>
        </w:rPr>
        <w:drawing>
          <wp:anchor distT="0" distB="0" distL="114300" distR="114300" simplePos="0" relativeHeight="251669504" behindDoc="0" locked="0" layoutInCell="1" allowOverlap="1">
            <wp:simplePos x="0" y="0"/>
            <wp:positionH relativeFrom="column">
              <wp:posOffset>5084445</wp:posOffset>
            </wp:positionH>
            <wp:positionV relativeFrom="paragraph">
              <wp:posOffset>390525</wp:posOffset>
            </wp:positionV>
            <wp:extent cx="647065" cy="307975"/>
            <wp:effectExtent l="0" t="0" r="635" b="15875"/>
            <wp:wrapNone/>
            <wp:docPr id="6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
                    <pic:cNvPicPr>
                      <a:picLocks noChangeAspect="1" noChangeArrowheads="1"/>
                    </pic:cNvPicPr>
                  </pic:nvPicPr>
                  <pic:blipFill>
                    <a:blip r:embed="rId32"/>
                    <a:srcRect/>
                    <a:stretch>
                      <a:fillRect/>
                    </a:stretch>
                  </pic:blipFill>
                  <pic:spPr>
                    <a:xfrm>
                      <a:off x="0" y="0"/>
                      <a:ext cx="647065" cy="307975"/>
                    </a:xfrm>
                    <a:prstGeom prst="rect">
                      <a:avLst/>
                    </a:prstGeom>
                    <a:noFill/>
                    <a:ln w="9525">
                      <a:noFill/>
                      <a:miter lim="800000"/>
                      <a:headEnd/>
                      <a:tailEnd/>
                    </a:ln>
                  </pic:spPr>
                </pic:pic>
              </a:graphicData>
            </a:graphic>
          </wp:anchor>
        </w:drawing>
      </w:r>
      <w:r>
        <w:rPr>
          <w:sz w:val="30"/>
          <w:szCs w:val="30"/>
        </w:rPr>
        <w:t xml:space="preserve">      </w:t>
      </w:r>
      <w:r>
        <w:rPr>
          <w:rFonts w:hint="eastAsia"/>
          <w:sz w:val="30"/>
          <w:szCs w:val="30"/>
        </w:rPr>
        <w:t>李星辉（助理工程师，现场监测，数据整理</w:t>
      </w:r>
      <w:r>
        <w:rPr>
          <w:sz w:val="30"/>
          <w:szCs w:val="30"/>
        </w:rPr>
        <w:t>）</w:t>
      </w:r>
    </w:p>
    <w:p>
      <w:pPr>
        <w:adjustRightInd w:val="0"/>
        <w:snapToGrid w:val="0"/>
        <w:spacing w:after="120"/>
        <w:ind w:left="480" w:leftChars="200" w:firstLine="1500" w:firstLineChars="500"/>
        <w:rPr>
          <w:sz w:val="30"/>
          <w:szCs w:val="30"/>
        </w:rPr>
      </w:pPr>
      <w:r>
        <w:rPr>
          <w:rFonts w:hint="eastAsia"/>
          <w:sz w:val="30"/>
          <w:szCs w:val="30"/>
        </w:rPr>
        <w:t>钟文雅（助理工程师，现场监测，资料分析</w:t>
      </w:r>
      <w:r>
        <w:rPr>
          <w:sz w:val="30"/>
          <w:szCs w:val="30"/>
        </w:rPr>
        <w:t>）</w:t>
      </w:r>
    </w:p>
    <w:p/>
    <w:p>
      <w:pPr>
        <w:pStyle w:val="9"/>
        <w:sectPr>
          <w:head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sdt>
      <w:sdtPr>
        <w:rPr>
          <w:rFonts w:ascii="宋体" w:hAnsi="宋体" w:eastAsia="宋体" w:cs="Times New Roman"/>
          <w:kern w:val="2"/>
          <w:sz w:val="21"/>
          <w:szCs w:val="22"/>
          <w:lang w:val="en-US" w:eastAsia="zh-CN" w:bidi="ar-SA"/>
        </w:rPr>
        <w:id w:val="147474939"/>
        <w15:color w:val="DBDBDB"/>
        <w:docPartObj>
          <w:docPartGallery w:val="Table of Contents"/>
          <w:docPartUnique/>
        </w:docPartObj>
      </w:sdtPr>
      <w:sdtEndPr>
        <w:rPr>
          <w:rFonts w:ascii="Times New Roman" w:hAnsi="Times New Roman" w:eastAsia="仿宋_GB2312" w:cs="Times New Roman"/>
          <w:b/>
          <w:kern w:val="2"/>
          <w:sz w:val="24"/>
          <w:szCs w:val="22"/>
          <w:lang w:val="en-US" w:eastAsia="zh-CN" w:bidi="ar-SA"/>
        </w:rPr>
      </w:sdtEndPr>
      <w:sdtContent>
        <w:p>
          <w:pPr>
            <w:spacing w:before="0" w:beforeLines="0" w:after="0" w:afterLines="0" w:line="240" w:lineRule="auto"/>
            <w:ind w:left="0" w:leftChars="0" w:right="0" w:rightChars="0" w:firstLine="0" w:firstLineChars="0"/>
            <w:jc w:val="center"/>
          </w:pPr>
          <w:r>
            <w:rPr>
              <w:rFonts w:hint="eastAsia" w:ascii="黑体" w:hAnsi="黑体" w:eastAsia="黑体" w:cs="黑体"/>
              <w:sz w:val="32"/>
              <w:szCs w:val="32"/>
            </w:rPr>
            <w:t>目</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录</w:t>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b/>
              <w:sz w:val="28"/>
              <w:szCs w:val="28"/>
            </w:rPr>
          </w:pPr>
          <w:r>
            <w:fldChar w:fldCharType="begin"/>
          </w:r>
          <w:r>
            <w:instrText xml:space="preserve">TOC \o "1-2" \h \u </w:instrText>
          </w:r>
          <w:r>
            <w:fldChar w:fldCharType="separate"/>
          </w: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HYPERLINK \l _Toc18417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前言</w:t>
          </w:r>
          <w:r>
            <w:rPr>
              <w:rFonts w:hint="default" w:ascii="Times New Roman" w:hAnsi="Times New Roman" w:eastAsia="仿宋_GB2312" w:cs="Times New Roman"/>
              <w:b/>
              <w:sz w:val="28"/>
              <w:szCs w:val="28"/>
            </w:rPr>
            <w:tab/>
          </w: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PAGEREF _Toc18417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1</w:t>
          </w:r>
          <w:r>
            <w:rPr>
              <w:rFonts w:hint="default" w:ascii="Times New Roman" w:hAnsi="Times New Roman" w:eastAsia="仿宋_GB2312" w:cs="Times New Roman"/>
              <w:b/>
              <w:sz w:val="28"/>
              <w:szCs w:val="28"/>
            </w:rPr>
            <w:fldChar w:fldCharType="end"/>
          </w:r>
          <w:r>
            <w:rPr>
              <w:rFonts w:hint="default" w:ascii="Times New Roman" w:hAnsi="Times New Roman" w:eastAsia="仿宋_GB2312" w:cs="Times New Roman"/>
              <w:b/>
              <w:sz w:val="28"/>
              <w:szCs w:val="28"/>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HYPERLINK \l _Toc12992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1 建设项目及水土保持工程概况</w:t>
          </w:r>
          <w:r>
            <w:rPr>
              <w:rFonts w:hint="default" w:ascii="Times New Roman" w:hAnsi="Times New Roman" w:eastAsia="仿宋_GB2312" w:cs="Times New Roman"/>
              <w:b/>
              <w:sz w:val="28"/>
              <w:szCs w:val="28"/>
            </w:rPr>
            <w:tab/>
          </w: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PAGEREF _Toc12992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5</w:t>
          </w:r>
          <w:r>
            <w:rPr>
              <w:rFonts w:hint="default" w:ascii="Times New Roman" w:hAnsi="Times New Roman" w:eastAsia="仿宋_GB2312" w:cs="Times New Roman"/>
              <w:b/>
              <w:sz w:val="28"/>
              <w:szCs w:val="28"/>
            </w:rPr>
            <w:fldChar w:fldCharType="end"/>
          </w:r>
          <w:r>
            <w:rPr>
              <w:rFonts w:hint="default" w:ascii="Times New Roman" w:hAnsi="Times New Roman" w:eastAsia="仿宋_GB2312" w:cs="Times New Roman"/>
              <w:b/>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_Toc30056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1.1 项目建设概况</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_Toc30056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_Toc21732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 水土流失防治工作情况</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_Toc21732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_Toc28167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1.3 监测工作实施概况</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_Toc28167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HYPERLINK \l _Toc12809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2监测内容和方法</w:t>
          </w:r>
          <w:r>
            <w:rPr>
              <w:rFonts w:hint="default" w:ascii="Times New Roman" w:hAnsi="Times New Roman" w:eastAsia="仿宋_GB2312" w:cs="Times New Roman"/>
              <w:b/>
              <w:sz w:val="28"/>
              <w:szCs w:val="28"/>
            </w:rPr>
            <w:tab/>
          </w: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PAGEREF _Toc12809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15</w:t>
          </w:r>
          <w:r>
            <w:rPr>
              <w:rFonts w:hint="default" w:ascii="Times New Roman" w:hAnsi="Times New Roman" w:eastAsia="仿宋_GB2312" w:cs="Times New Roman"/>
              <w:b/>
              <w:sz w:val="28"/>
              <w:szCs w:val="28"/>
            </w:rPr>
            <w:fldChar w:fldCharType="end"/>
          </w:r>
          <w:r>
            <w:rPr>
              <w:rFonts w:hint="default" w:ascii="Times New Roman" w:hAnsi="Times New Roman" w:eastAsia="仿宋_GB2312" w:cs="Times New Roman"/>
              <w:b/>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_Toc21816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2.1扰动土地情况</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_Toc21816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_Toc1463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2.2取料、弃渣</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_Toc1463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_Toc12036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2.2.1</w:t>
          </w:r>
          <w:r>
            <w:rPr>
              <w:rFonts w:hint="default" w:ascii="Times New Roman" w:hAnsi="Times New Roman" w:eastAsia="仿宋_GB2312" w:cs="Times New Roman"/>
              <w:bCs w:val="0"/>
              <w:sz w:val="28"/>
              <w:szCs w:val="28"/>
            </w:rPr>
            <w:t>取料情况监测</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_Toc12036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_Toc10229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2.2.2</w:t>
          </w:r>
          <w:r>
            <w:rPr>
              <w:rFonts w:hint="default" w:ascii="Times New Roman" w:hAnsi="Times New Roman" w:eastAsia="仿宋_GB2312" w:cs="Times New Roman"/>
              <w:bCs w:val="0"/>
              <w:sz w:val="28"/>
              <w:szCs w:val="28"/>
            </w:rPr>
            <w:t>弃渣情况监测</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_Toc10229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_Toc12037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2.3水土保持措施</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_Toc12037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_Toc4826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2.4水土流失情况</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_Toc4826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HYPERLINK \l _Toc20541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3重点对象水土流失动态监测</w:t>
          </w:r>
          <w:r>
            <w:rPr>
              <w:rFonts w:hint="default" w:ascii="Times New Roman" w:hAnsi="Times New Roman" w:eastAsia="仿宋_GB2312" w:cs="Times New Roman"/>
              <w:b/>
              <w:sz w:val="28"/>
              <w:szCs w:val="28"/>
            </w:rPr>
            <w:tab/>
          </w: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PAGEREF _Toc20541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17</w:t>
          </w:r>
          <w:r>
            <w:rPr>
              <w:rFonts w:hint="default" w:ascii="Times New Roman" w:hAnsi="Times New Roman" w:eastAsia="仿宋_GB2312" w:cs="Times New Roman"/>
              <w:b/>
              <w:sz w:val="28"/>
              <w:szCs w:val="28"/>
            </w:rPr>
            <w:fldChar w:fldCharType="end"/>
          </w:r>
          <w:r>
            <w:rPr>
              <w:rFonts w:hint="default" w:ascii="Times New Roman" w:hAnsi="Times New Roman" w:eastAsia="仿宋_GB2312" w:cs="Times New Roman"/>
              <w:b/>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_Toc8602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3.1防治责任范围监测结果</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_Toc8602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_Toc1121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3.2取土监测结果</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_Toc1121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_Toc15651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3.3弃土监测结果</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_Toc15651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_Toc32392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3.4工程土石方变化情况分析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_Toc32392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HYPERLINK \l _Toc2696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4 水土流失防治措施监测结果</w:t>
          </w:r>
          <w:r>
            <w:rPr>
              <w:rFonts w:hint="default" w:ascii="Times New Roman" w:hAnsi="Times New Roman" w:eastAsia="仿宋_GB2312" w:cs="Times New Roman"/>
              <w:b/>
              <w:sz w:val="28"/>
              <w:szCs w:val="28"/>
            </w:rPr>
            <w:tab/>
          </w: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PAGEREF _Toc2696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19</w:t>
          </w:r>
          <w:r>
            <w:rPr>
              <w:rFonts w:hint="default" w:ascii="Times New Roman" w:hAnsi="Times New Roman" w:eastAsia="仿宋_GB2312" w:cs="Times New Roman"/>
              <w:b/>
              <w:sz w:val="28"/>
              <w:szCs w:val="28"/>
            </w:rPr>
            <w:fldChar w:fldCharType="end"/>
          </w:r>
          <w:r>
            <w:rPr>
              <w:rFonts w:hint="default" w:ascii="Times New Roman" w:hAnsi="Times New Roman" w:eastAsia="仿宋_GB2312" w:cs="Times New Roman"/>
              <w:b/>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_Toc31853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xml:space="preserve">4.1 </w:t>
          </w:r>
          <w:r>
            <w:rPr>
              <w:rFonts w:hint="default" w:ascii="Times New Roman" w:hAnsi="Times New Roman" w:eastAsia="仿宋_GB2312" w:cs="Times New Roman"/>
              <w:sz w:val="28"/>
              <w:szCs w:val="28"/>
              <w:lang w:eastAsia="zh-CN"/>
            </w:rPr>
            <w:t>工程</w:t>
          </w:r>
          <w:r>
            <w:rPr>
              <w:rFonts w:hint="default" w:ascii="Times New Roman" w:hAnsi="Times New Roman" w:eastAsia="仿宋_GB2312" w:cs="Times New Roman"/>
              <w:sz w:val="28"/>
              <w:szCs w:val="28"/>
            </w:rPr>
            <w:t>措施监测结果</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_Toc31853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_Toc4547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4.</w:t>
          </w:r>
          <w:r>
            <w:rPr>
              <w:rFonts w:hint="default" w:ascii="Times New Roman" w:hAnsi="Times New Roman" w:eastAsia="仿宋_GB2312" w:cs="Times New Roman"/>
              <w:sz w:val="28"/>
              <w:szCs w:val="28"/>
              <w:lang w:eastAsia="zh-CN"/>
            </w:rPr>
            <w:t>2</w:t>
          </w:r>
          <w:r>
            <w:rPr>
              <w:rFonts w:hint="default" w:ascii="Times New Roman" w:hAnsi="Times New Roman" w:eastAsia="仿宋_GB2312" w:cs="Times New Roman"/>
              <w:sz w:val="28"/>
              <w:szCs w:val="28"/>
            </w:rPr>
            <w:t xml:space="preserve"> 植物措施监测结果</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_Toc4547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_Toc19103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4.</w:t>
          </w:r>
          <w:r>
            <w:rPr>
              <w:rFonts w:hint="default" w:ascii="Times New Roman" w:hAnsi="Times New Roman" w:eastAsia="仿宋_GB2312" w:cs="Times New Roman"/>
              <w:sz w:val="28"/>
              <w:szCs w:val="28"/>
              <w:lang w:eastAsia="zh-CN"/>
            </w:rPr>
            <w:t>3</w:t>
          </w:r>
          <w:r>
            <w:rPr>
              <w:rFonts w:hint="default" w:ascii="Times New Roman" w:hAnsi="Times New Roman" w:eastAsia="仿宋_GB2312" w:cs="Times New Roman"/>
              <w:sz w:val="28"/>
              <w:szCs w:val="28"/>
            </w:rPr>
            <w:t xml:space="preserve"> 临时措施监测结果</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_Toc19103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_Toc18334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4.</w:t>
          </w:r>
          <w:r>
            <w:rPr>
              <w:rFonts w:hint="default" w:ascii="Times New Roman" w:hAnsi="Times New Roman" w:eastAsia="仿宋_GB2312" w:cs="Times New Roman"/>
              <w:sz w:val="28"/>
              <w:szCs w:val="28"/>
              <w:lang w:eastAsia="zh-CN"/>
            </w:rPr>
            <w:t>4</w:t>
          </w:r>
          <w:r>
            <w:rPr>
              <w:rFonts w:hint="default" w:ascii="Times New Roman" w:hAnsi="Times New Roman" w:eastAsia="仿宋_GB2312" w:cs="Times New Roman"/>
              <w:sz w:val="28"/>
              <w:szCs w:val="28"/>
            </w:rPr>
            <w:t>水土保持措施防治效果</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_Toc18334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HYPERLINK \l _Toc25431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5 土壤流失情况监测</w:t>
          </w:r>
          <w:r>
            <w:rPr>
              <w:rFonts w:hint="default" w:ascii="Times New Roman" w:hAnsi="Times New Roman" w:eastAsia="仿宋_GB2312" w:cs="Times New Roman"/>
              <w:b/>
              <w:sz w:val="28"/>
              <w:szCs w:val="28"/>
            </w:rPr>
            <w:tab/>
          </w: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PAGEREF _Toc25431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22</w:t>
          </w:r>
          <w:r>
            <w:rPr>
              <w:rFonts w:hint="default" w:ascii="Times New Roman" w:hAnsi="Times New Roman" w:eastAsia="仿宋_GB2312" w:cs="Times New Roman"/>
              <w:b/>
              <w:sz w:val="28"/>
              <w:szCs w:val="28"/>
            </w:rPr>
            <w:fldChar w:fldCharType="end"/>
          </w:r>
          <w:r>
            <w:rPr>
              <w:rFonts w:hint="default" w:ascii="Times New Roman" w:hAnsi="Times New Roman" w:eastAsia="仿宋_GB2312" w:cs="Times New Roman"/>
              <w:b/>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_Toc31678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5.1水土流失面积监测</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_Toc31678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_Toc17606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5.2各阶段土壤流失量分析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_Toc17606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_Toc29731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5.3水土流失危害</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_Toc29731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HYPERLINK \l _Toc17184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6 水土流失防治效果监测结果</w:t>
          </w:r>
          <w:r>
            <w:rPr>
              <w:rFonts w:hint="default" w:ascii="Times New Roman" w:hAnsi="Times New Roman" w:eastAsia="仿宋_GB2312" w:cs="Times New Roman"/>
              <w:b/>
              <w:sz w:val="28"/>
              <w:szCs w:val="28"/>
            </w:rPr>
            <w:tab/>
          </w: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PAGEREF _Toc17184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24</w:t>
          </w:r>
          <w:r>
            <w:rPr>
              <w:rFonts w:hint="default" w:ascii="Times New Roman" w:hAnsi="Times New Roman" w:eastAsia="仿宋_GB2312" w:cs="Times New Roman"/>
              <w:b/>
              <w:sz w:val="28"/>
              <w:szCs w:val="28"/>
            </w:rPr>
            <w:fldChar w:fldCharType="end"/>
          </w:r>
          <w:r>
            <w:rPr>
              <w:rFonts w:hint="default" w:ascii="Times New Roman" w:hAnsi="Times New Roman" w:eastAsia="仿宋_GB2312" w:cs="Times New Roman"/>
              <w:b/>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_Toc2463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6.1 防治指标标准值</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_Toc2463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24</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_Toc31662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6.2 扰动土地整治率</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_Toc31662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24</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_Toc29970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xml:space="preserve">6.2 </w:t>
          </w:r>
          <w:r>
            <w:rPr>
              <w:rFonts w:hint="default" w:ascii="Times New Roman" w:hAnsi="Times New Roman" w:eastAsia="仿宋_GB2312" w:cs="Times New Roman"/>
              <w:sz w:val="28"/>
              <w:szCs w:val="28"/>
              <w:lang w:val="en-US" w:eastAsia="zh-CN"/>
            </w:rPr>
            <w:t>土壤流失总治理度</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_Toc29970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_Toc31139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6.4 拦渣率</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_Toc31139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_Toc15209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6.5 土壤流失控制比</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_Toc15209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_Toc25240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6.6 林草植被恢复率和林草覆盖率</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_Toc25240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_Toc22196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w:t>
          </w:r>
          <w:r>
            <w:rPr>
              <w:rFonts w:hint="default" w:ascii="Times New Roman" w:hAnsi="Times New Roman" w:eastAsia="仿宋_GB2312" w:cs="Times New Roman"/>
              <w:sz w:val="28"/>
              <w:szCs w:val="28"/>
              <w:lang w:eastAsia="zh-CN"/>
            </w:rPr>
            <w:t>7</w:t>
          </w:r>
          <w:r>
            <w:rPr>
              <w:rFonts w:hint="default" w:ascii="Times New Roman" w:hAnsi="Times New Roman" w:eastAsia="仿宋_GB2312" w:cs="Times New Roman"/>
              <w:sz w:val="28"/>
              <w:szCs w:val="28"/>
            </w:rPr>
            <w:t xml:space="preserve"> 水土流失防治指标达标情况</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_Toc22196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HYPERLINK \l _Toc28627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7 结论</w:t>
          </w:r>
          <w:r>
            <w:rPr>
              <w:rFonts w:hint="default" w:ascii="Times New Roman" w:hAnsi="Times New Roman" w:eastAsia="仿宋_GB2312" w:cs="Times New Roman"/>
              <w:b/>
              <w:sz w:val="28"/>
              <w:szCs w:val="28"/>
            </w:rPr>
            <w:tab/>
          </w:r>
          <w:r>
            <w:rPr>
              <w:rFonts w:hint="default" w:ascii="Times New Roman" w:hAnsi="Times New Roman" w:eastAsia="仿宋_GB2312" w:cs="Times New Roman"/>
              <w:b/>
              <w:sz w:val="28"/>
              <w:szCs w:val="28"/>
            </w:rPr>
            <w:fldChar w:fldCharType="begin"/>
          </w:r>
          <w:r>
            <w:rPr>
              <w:rFonts w:hint="default" w:ascii="Times New Roman" w:hAnsi="Times New Roman" w:eastAsia="仿宋_GB2312" w:cs="Times New Roman"/>
              <w:b/>
              <w:sz w:val="28"/>
              <w:szCs w:val="28"/>
            </w:rPr>
            <w:instrText xml:space="preserve"> PAGEREF _Toc28627 </w:instrText>
          </w:r>
          <w:r>
            <w:rPr>
              <w:rFonts w:hint="default" w:ascii="Times New Roman" w:hAnsi="Times New Roman" w:eastAsia="仿宋_GB2312" w:cs="Times New Roman"/>
              <w:b/>
              <w:sz w:val="28"/>
              <w:szCs w:val="28"/>
            </w:rPr>
            <w:fldChar w:fldCharType="separate"/>
          </w:r>
          <w:r>
            <w:rPr>
              <w:rFonts w:hint="default" w:ascii="Times New Roman" w:hAnsi="Times New Roman" w:eastAsia="仿宋_GB2312" w:cs="Times New Roman"/>
              <w:b/>
              <w:sz w:val="28"/>
              <w:szCs w:val="28"/>
            </w:rPr>
            <w:t>28</w:t>
          </w:r>
          <w:r>
            <w:rPr>
              <w:rFonts w:hint="default" w:ascii="Times New Roman" w:hAnsi="Times New Roman" w:eastAsia="仿宋_GB2312" w:cs="Times New Roman"/>
              <w:b/>
              <w:sz w:val="28"/>
              <w:szCs w:val="28"/>
            </w:rPr>
            <w:fldChar w:fldCharType="end"/>
          </w:r>
          <w:r>
            <w:rPr>
              <w:rFonts w:hint="default" w:ascii="Times New Roman" w:hAnsi="Times New Roman" w:eastAsia="仿宋_GB2312" w:cs="Times New Roman"/>
              <w:b/>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_Toc27856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7.1 水土流失动态变化</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_Toc27856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_Toc25277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7.2水土保持措施评价</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_Toc25277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_Toc10356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7.3 存在问题及整改建议</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_Toc10356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_Toc22084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7.4 综合结论</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_Toc22084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9"/>
            <w:ind w:left="0" w:leftChars="0" w:firstLine="0" w:firstLineChars="0"/>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b/>
            </w:rPr>
            <w:fldChar w:fldCharType="end"/>
          </w:r>
        </w:p>
      </w:sdtContent>
    </w:sdt>
    <w:p>
      <w:pPr>
        <w:pStyle w:val="3"/>
        <w:adjustRightInd/>
        <w:spacing w:line="360" w:lineRule="auto"/>
        <w:ind w:firstLine="0" w:firstLineChars="0"/>
        <w:rPr>
          <w:rFonts w:eastAsia="仿宋_GB2312"/>
        </w:rPr>
      </w:pPr>
      <w:bookmarkStart w:id="0" w:name="_Toc6112"/>
      <w:bookmarkStart w:id="1" w:name="_Toc18417"/>
      <w:r>
        <w:rPr>
          <w:rFonts w:eastAsia="仿宋_GB2312"/>
        </w:rPr>
        <w:t>前言</w:t>
      </w:r>
      <w:bookmarkEnd w:id="0"/>
      <w:bookmarkEnd w:id="1"/>
    </w:p>
    <w:p>
      <w:pPr>
        <w:spacing w:line="360" w:lineRule="auto"/>
        <w:ind w:firstLine="480" w:firstLineChars="200"/>
        <w:rPr>
          <w:rFonts w:hint="default" w:ascii="Times New Roman" w:hAnsi="Times New Roman" w:eastAsia="仿宋" w:cs="Times New Roman"/>
          <w:snapToGrid w:val="0"/>
          <w:kern w:val="0"/>
          <w:sz w:val="24"/>
          <w:szCs w:val="24"/>
        </w:rPr>
      </w:pPr>
      <w:r>
        <w:rPr>
          <w:rFonts w:hint="default" w:ascii="Times New Roman" w:hAnsi="Times New Roman" w:eastAsia="仿宋" w:cs="Times New Roman"/>
          <w:sz w:val="24"/>
          <w:szCs w:val="24"/>
        </w:rPr>
        <w:t>东海岛 15 万 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/d 自来水厂工程</w:t>
      </w:r>
      <w:r>
        <w:rPr>
          <w:rFonts w:hint="default" w:ascii="Times New Roman" w:hAnsi="Times New Roman" w:eastAsia="仿宋" w:cs="Times New Roman"/>
          <w:snapToGrid w:val="0"/>
          <w:kern w:val="0"/>
          <w:sz w:val="24"/>
          <w:szCs w:val="24"/>
        </w:rPr>
        <w:t>位于</w:t>
      </w:r>
      <w:r>
        <w:rPr>
          <w:rFonts w:hint="default" w:ascii="Times New Roman" w:hAnsi="Times New Roman" w:eastAsia="仿宋" w:cs="Times New Roman"/>
          <w:sz w:val="24"/>
          <w:szCs w:val="24"/>
        </w:rPr>
        <w:t>位于湛江市东海岛东山镇调伦村东海大道以北、什足河以东、规划东成大道以南</w:t>
      </w:r>
      <w:r>
        <w:rPr>
          <w:rFonts w:hint="default" w:ascii="Times New Roman" w:hAnsi="Times New Roman" w:eastAsia="仿宋" w:cs="Times New Roman"/>
          <w:snapToGrid w:val="0"/>
          <w:kern w:val="0"/>
          <w:sz w:val="24"/>
          <w:szCs w:val="24"/>
        </w:rPr>
        <w:t>。南侧紧邻东海大道，交通较便利。</w:t>
      </w:r>
    </w:p>
    <w:p>
      <w:pPr>
        <w:ind w:firstLine="560"/>
        <w:rPr>
          <w:rFonts w:hint="default" w:ascii="Times New Roman" w:hAnsi="Times New Roman" w:eastAsia="仿宋" w:cs="Times New Roman"/>
          <w:spacing w:val="5"/>
          <w:sz w:val="24"/>
          <w:szCs w:val="24"/>
        </w:rPr>
      </w:pPr>
      <w:r>
        <w:rPr>
          <w:rFonts w:hint="default" w:ascii="Times New Roman" w:hAnsi="Times New Roman" w:eastAsia="仿宋" w:cs="Times New Roman"/>
          <w:sz w:val="24"/>
          <w:szCs w:val="24"/>
        </w:rPr>
        <w:t>项目</w:t>
      </w:r>
      <w:r>
        <w:rPr>
          <w:rFonts w:hint="default" w:ascii="Times New Roman" w:hAnsi="Times New Roman" w:eastAsia="仿宋" w:cs="Times New Roman"/>
          <w:snapToGrid w:val="0"/>
          <w:kern w:val="0"/>
          <w:sz w:val="24"/>
          <w:szCs w:val="24"/>
        </w:rPr>
        <w:t>红线总占地面积10.03hm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napToGrid w:val="0"/>
          <w:kern w:val="0"/>
          <w:sz w:val="24"/>
          <w:szCs w:val="24"/>
        </w:rPr>
        <w:t>，其中一期建设用地面积7.49hm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napToGrid w:val="0"/>
          <w:kern w:val="0"/>
          <w:sz w:val="24"/>
          <w:szCs w:val="24"/>
        </w:rPr>
        <w:t>，预留用地面积2.54hm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napToGrid w:val="0"/>
          <w:kern w:val="0"/>
          <w:sz w:val="24"/>
          <w:szCs w:val="24"/>
        </w:rPr>
        <w:t>，预留用地将用于二期开发。</w:t>
      </w:r>
      <w:r>
        <w:rPr>
          <w:rFonts w:hint="default" w:ascii="Times New Roman" w:hAnsi="Times New Roman" w:eastAsia="仿宋" w:cs="Times New Roman"/>
          <w:sz w:val="24"/>
          <w:szCs w:val="24"/>
        </w:rPr>
        <w:t>总建筑面积40300</w:t>
      </w:r>
      <w:r>
        <w:rPr>
          <w:rFonts w:hint="default" w:ascii="Times New Roman" w:hAnsi="Times New Roman" w:eastAsia="仿宋" w:cs="Times New Roman"/>
          <w:snapToGrid w:val="0"/>
          <w:kern w:val="0"/>
          <w:sz w:val="24"/>
          <w:szCs w:val="24"/>
        </w:rPr>
        <w:t xml:space="preserve"> 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z w:val="24"/>
          <w:szCs w:val="24"/>
        </w:rPr>
        <w:t>，构建筑物占地面积36730</w:t>
      </w:r>
      <w:r>
        <w:rPr>
          <w:rFonts w:hint="default" w:ascii="Times New Roman" w:hAnsi="Times New Roman" w:eastAsia="仿宋" w:cs="Times New Roman"/>
          <w:snapToGrid w:val="0"/>
          <w:kern w:val="0"/>
          <w:sz w:val="24"/>
          <w:szCs w:val="24"/>
        </w:rPr>
        <w:t xml:space="preserve"> 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z w:val="24"/>
          <w:szCs w:val="24"/>
        </w:rPr>
        <w:t>，建筑容积率21.7%，建筑密度19.83%，绿化率57%。包括水处理构筑物、泥线构筑物和辅助生产构筑物三部分，建设内容主要包括提升泵站 1 座、高锰酸钾、粉末活性炭间一座、混合絮凝平流沉淀池 1 座、均粒滤料砂滤池 1 座、砂滤池冲洗泵房 1座、清水池 2 座、二级泵房 1 座、综合加药间 1 座、反冲洗废水调节池 1座、反冲洗废水浓缩池 2 座、污泥平衡池 2 座和污泥脱水车间 1 座，管理中心1座，门卫室1座等工程内容。</w:t>
      </w:r>
    </w:p>
    <w:p>
      <w:pPr>
        <w:ind w:firstLine="560"/>
        <w:rPr>
          <w:rFonts w:hint="eastAsia"/>
        </w:rPr>
      </w:pPr>
      <w:r>
        <w:rPr>
          <w:rFonts w:eastAsia="仿宋_GB2312"/>
          <w:sz w:val="24"/>
          <w:szCs w:val="24"/>
        </w:rPr>
        <w:t>根据《中华人民共和国水土保持法》、《中华人民共和国水土保持法实施条例》、《开发建设项目水土保持方案编报审批管理规定》等有关法律法规的要求，201</w:t>
      </w:r>
      <w:r>
        <w:rPr>
          <w:rFonts w:hint="eastAsia" w:eastAsia="仿宋_GB2312"/>
          <w:sz w:val="24"/>
          <w:szCs w:val="24"/>
          <w:lang w:val="en-US" w:eastAsia="zh-CN"/>
        </w:rPr>
        <w:t>6</w:t>
      </w:r>
      <w:r>
        <w:rPr>
          <w:rFonts w:eastAsia="仿宋_GB2312"/>
          <w:sz w:val="24"/>
          <w:szCs w:val="24"/>
        </w:rPr>
        <w:t>年1</w:t>
      </w:r>
      <w:r>
        <w:rPr>
          <w:rFonts w:hint="eastAsia" w:eastAsia="仿宋_GB2312"/>
          <w:sz w:val="24"/>
          <w:szCs w:val="24"/>
          <w:lang w:val="en-US" w:eastAsia="zh-CN"/>
        </w:rPr>
        <w:t>0</w:t>
      </w:r>
      <w:r>
        <w:rPr>
          <w:rFonts w:eastAsia="仿宋_GB2312"/>
          <w:sz w:val="24"/>
          <w:szCs w:val="24"/>
        </w:rPr>
        <w:t>月，</w:t>
      </w:r>
      <w:r>
        <w:rPr>
          <w:rFonts w:hint="eastAsia" w:eastAsia="仿宋_GB2312"/>
          <w:sz w:val="24"/>
          <w:szCs w:val="24"/>
          <w:lang w:eastAsia="zh-CN"/>
        </w:rPr>
        <w:t>湛江开发区园区建设投资有限公司</w:t>
      </w:r>
      <w:r>
        <w:rPr>
          <w:rFonts w:eastAsia="仿宋_GB2312"/>
          <w:sz w:val="24"/>
          <w:szCs w:val="24"/>
        </w:rPr>
        <w:t>委托</w:t>
      </w:r>
      <w:r>
        <w:rPr>
          <w:rFonts w:hint="eastAsia" w:eastAsia="仿宋_GB2312" w:cs="Times New Roman"/>
          <w:color w:val="auto"/>
          <w:sz w:val="24"/>
          <w:szCs w:val="24"/>
          <w:lang w:eastAsia="zh-CN"/>
        </w:rPr>
        <w:t>深圳鹏达信能源环保科技有限公司</w:t>
      </w:r>
      <w:r>
        <w:rPr>
          <w:rFonts w:eastAsia="仿宋_GB2312"/>
          <w:sz w:val="24"/>
          <w:szCs w:val="24"/>
        </w:rPr>
        <w:t>编报《</w:t>
      </w:r>
      <w:r>
        <w:rPr>
          <w:rFonts w:hint="eastAsia" w:eastAsia="仿宋_GB2312"/>
          <w:sz w:val="24"/>
          <w:szCs w:val="24"/>
          <w:lang w:eastAsia="zh-CN"/>
        </w:rPr>
        <w:t>东海岛15万m³/d 自来水厂工程</w:t>
      </w:r>
      <w:r>
        <w:rPr>
          <w:rFonts w:eastAsia="仿宋_GB2312"/>
          <w:sz w:val="24"/>
          <w:szCs w:val="24"/>
        </w:rPr>
        <w:t>水土保持方案报告书》；20</w:t>
      </w:r>
      <w:r>
        <w:rPr>
          <w:rFonts w:hint="eastAsia" w:eastAsia="仿宋_GB2312"/>
          <w:sz w:val="24"/>
          <w:szCs w:val="24"/>
          <w:lang w:val="en-US" w:eastAsia="zh-CN"/>
        </w:rPr>
        <w:t>17</w:t>
      </w:r>
      <w:r>
        <w:rPr>
          <w:rFonts w:eastAsia="仿宋_GB2312"/>
          <w:sz w:val="24"/>
          <w:szCs w:val="24"/>
        </w:rPr>
        <w:t>年</w:t>
      </w:r>
      <w:r>
        <w:rPr>
          <w:rFonts w:hint="eastAsia" w:eastAsia="仿宋_GB2312"/>
          <w:sz w:val="24"/>
          <w:szCs w:val="24"/>
          <w:lang w:val="en-US" w:eastAsia="zh-CN"/>
        </w:rPr>
        <w:t>3</w:t>
      </w:r>
      <w:r>
        <w:rPr>
          <w:rFonts w:eastAsia="仿宋_GB2312"/>
          <w:sz w:val="24"/>
          <w:szCs w:val="24"/>
        </w:rPr>
        <w:t>月</w:t>
      </w:r>
      <w:r>
        <w:rPr>
          <w:rFonts w:hint="eastAsia" w:eastAsia="仿宋_GB2312"/>
          <w:sz w:val="24"/>
          <w:szCs w:val="24"/>
          <w:lang w:val="en-US" w:eastAsia="zh-CN"/>
        </w:rPr>
        <w:t>22</w:t>
      </w:r>
      <w:r>
        <w:rPr>
          <w:rFonts w:eastAsia="仿宋_GB2312"/>
          <w:sz w:val="24"/>
          <w:szCs w:val="24"/>
        </w:rPr>
        <w:t>日，</w:t>
      </w:r>
      <w:r>
        <w:rPr>
          <w:rFonts w:hint="eastAsia" w:eastAsia="仿宋_GB2312"/>
          <w:sz w:val="24"/>
          <w:szCs w:val="24"/>
          <w:lang w:eastAsia="zh-CN"/>
        </w:rPr>
        <w:t>湛江市水务局</w:t>
      </w:r>
      <w:r>
        <w:rPr>
          <w:rFonts w:eastAsia="仿宋_GB2312"/>
          <w:sz w:val="24"/>
          <w:szCs w:val="24"/>
        </w:rPr>
        <w:t>以“</w:t>
      </w:r>
      <w:r>
        <w:rPr>
          <w:rFonts w:hint="eastAsia" w:eastAsia="仿宋_GB2312"/>
          <w:sz w:val="24"/>
          <w:szCs w:val="24"/>
          <w:lang w:val="en-US" w:eastAsia="zh-CN"/>
        </w:rPr>
        <w:t>湛水水保安监</w:t>
      </w:r>
      <w:r>
        <w:rPr>
          <w:rFonts w:hAnsi="宋体"/>
          <w:sz w:val="24"/>
          <w:szCs w:val="24"/>
        </w:rPr>
        <w:t>﹝</w:t>
      </w:r>
      <w:r>
        <w:rPr>
          <w:rFonts w:eastAsia="仿宋_GB2312"/>
          <w:sz w:val="24"/>
          <w:szCs w:val="24"/>
        </w:rPr>
        <w:t>20</w:t>
      </w:r>
      <w:r>
        <w:rPr>
          <w:rFonts w:hint="eastAsia" w:eastAsia="仿宋_GB2312"/>
          <w:sz w:val="24"/>
          <w:szCs w:val="24"/>
          <w:lang w:val="en-US" w:eastAsia="zh-CN"/>
        </w:rPr>
        <w:t>17</w:t>
      </w:r>
      <w:r>
        <w:rPr>
          <w:rFonts w:hAnsi="宋体"/>
          <w:sz w:val="24"/>
          <w:szCs w:val="24"/>
        </w:rPr>
        <w:t>﹞</w:t>
      </w:r>
      <w:r>
        <w:rPr>
          <w:rFonts w:hint="eastAsia" w:eastAsia="仿宋_GB2312"/>
          <w:sz w:val="24"/>
          <w:szCs w:val="24"/>
          <w:lang w:val="en-US" w:eastAsia="zh-CN"/>
        </w:rPr>
        <w:t>22</w:t>
      </w:r>
      <w:r>
        <w:rPr>
          <w:rFonts w:eastAsia="仿宋_GB2312"/>
          <w:sz w:val="24"/>
          <w:szCs w:val="24"/>
        </w:rPr>
        <w:t>号”对该方案报告书</w:t>
      </w:r>
      <w:r>
        <w:rPr>
          <w:rFonts w:hint="eastAsia" w:eastAsia="仿宋_GB2312"/>
          <w:sz w:val="24"/>
          <w:szCs w:val="24"/>
          <w:lang w:val="en-US" w:eastAsia="zh-CN"/>
        </w:rPr>
        <w:t>准予批复</w:t>
      </w:r>
      <w:r>
        <w:rPr>
          <w:rFonts w:eastAsia="仿宋_GB2312"/>
          <w:sz w:val="24"/>
          <w:szCs w:val="24"/>
        </w:rPr>
        <w:t>。</w:t>
      </w:r>
    </w:p>
    <w:p>
      <w:pPr>
        <w:spacing w:line="360" w:lineRule="auto"/>
        <w:ind w:firstLine="480" w:firstLineChars="200"/>
        <w:rPr>
          <w:rFonts w:hint="eastAsia" w:eastAsia="仿宋_GB2312"/>
          <w:bCs/>
          <w:sz w:val="24"/>
          <w:highlight w:val="none"/>
          <w:lang w:eastAsia="zh-CN"/>
        </w:rPr>
      </w:pPr>
      <w:r>
        <w:rPr>
          <w:rFonts w:hint="eastAsia"/>
          <w:bCs/>
          <w:sz w:val="24"/>
          <w:highlight w:val="none"/>
          <w:lang w:val="en-US" w:eastAsia="zh-CN"/>
        </w:rPr>
        <w:t>2020</w:t>
      </w:r>
      <w:r>
        <w:rPr>
          <w:rFonts w:hint="eastAsia" w:eastAsia="仿宋_GB2312"/>
          <w:bCs/>
          <w:sz w:val="24"/>
          <w:highlight w:val="none"/>
        </w:rPr>
        <w:t>年</w:t>
      </w:r>
      <w:r>
        <w:rPr>
          <w:rFonts w:hint="eastAsia"/>
          <w:bCs/>
          <w:sz w:val="24"/>
          <w:highlight w:val="none"/>
          <w:lang w:val="en-US" w:eastAsia="zh-CN"/>
        </w:rPr>
        <w:t>9</w:t>
      </w:r>
      <w:r>
        <w:rPr>
          <w:rFonts w:hint="eastAsia" w:eastAsia="仿宋_GB2312"/>
          <w:bCs/>
          <w:sz w:val="24"/>
          <w:highlight w:val="none"/>
        </w:rPr>
        <w:t>月，</w:t>
      </w:r>
      <w:r>
        <w:rPr>
          <w:rFonts w:eastAsia="仿宋_GB2312"/>
          <w:bCs/>
          <w:sz w:val="24"/>
          <w:highlight w:val="none"/>
        </w:rPr>
        <w:t>建设单位委托</w:t>
      </w:r>
      <w:r>
        <w:rPr>
          <w:rFonts w:hint="eastAsia"/>
          <w:bCs/>
          <w:sz w:val="24"/>
          <w:highlight w:val="none"/>
          <w:lang w:eastAsia="zh-CN"/>
        </w:rPr>
        <w:t>广东环晟水利环境科技有限公司</w:t>
      </w:r>
      <w:r>
        <w:rPr>
          <w:rFonts w:eastAsia="仿宋_GB2312"/>
          <w:bCs/>
          <w:sz w:val="24"/>
          <w:highlight w:val="none"/>
        </w:rPr>
        <w:t>开展本工程水土保持监测工作，监测单位根据《生产建设项目水土保持监测规程（试行）》及相关文件开展水土保持监测工作。</w:t>
      </w:r>
      <w:r>
        <w:rPr>
          <w:rFonts w:hint="eastAsia" w:eastAsia="仿宋_GB2312"/>
          <w:bCs/>
          <w:sz w:val="24"/>
          <w:highlight w:val="none"/>
        </w:rPr>
        <w:t>201</w:t>
      </w:r>
      <w:r>
        <w:rPr>
          <w:rFonts w:hint="eastAsia"/>
          <w:bCs/>
          <w:sz w:val="24"/>
          <w:highlight w:val="none"/>
          <w:lang w:val="en-US" w:eastAsia="zh-CN"/>
        </w:rPr>
        <w:t>2</w:t>
      </w:r>
      <w:r>
        <w:rPr>
          <w:rFonts w:hint="eastAsia" w:eastAsia="仿宋_GB2312"/>
          <w:bCs/>
          <w:sz w:val="24"/>
          <w:highlight w:val="none"/>
        </w:rPr>
        <w:t>年</w:t>
      </w:r>
      <w:r>
        <w:rPr>
          <w:rFonts w:hint="eastAsia"/>
          <w:bCs/>
          <w:sz w:val="24"/>
          <w:highlight w:val="none"/>
          <w:lang w:val="en-US" w:eastAsia="zh-CN"/>
        </w:rPr>
        <w:t>12</w:t>
      </w:r>
      <w:r>
        <w:rPr>
          <w:rFonts w:hint="eastAsia" w:eastAsia="仿宋_GB2312"/>
          <w:bCs/>
          <w:sz w:val="24"/>
          <w:highlight w:val="none"/>
        </w:rPr>
        <w:t>月监测单位编制完成了《</w:t>
      </w:r>
      <w:r>
        <w:rPr>
          <w:rFonts w:hint="eastAsia"/>
          <w:bCs/>
          <w:sz w:val="24"/>
          <w:highlight w:val="none"/>
          <w:lang w:val="en-US" w:eastAsia="zh-CN"/>
        </w:rPr>
        <w:t>东海岛15万m³/d 自来水厂工程</w:t>
      </w:r>
      <w:r>
        <w:rPr>
          <w:rFonts w:hint="eastAsia" w:eastAsia="仿宋_GB2312"/>
          <w:bCs/>
          <w:sz w:val="24"/>
          <w:highlight w:val="none"/>
        </w:rPr>
        <w:t>监测总结报告》</w:t>
      </w:r>
      <w:r>
        <w:rPr>
          <w:rFonts w:hint="eastAsia"/>
          <w:bCs/>
          <w:sz w:val="24"/>
          <w:highlight w:val="none"/>
          <w:lang w:eastAsia="zh-CN"/>
        </w:rPr>
        <w:t>。</w:t>
      </w:r>
    </w:p>
    <w:p>
      <w:pPr>
        <w:pStyle w:val="24"/>
        <w:rPr>
          <w:rFonts w:hint="eastAsia"/>
          <w:lang w:eastAsia="zh-CN"/>
        </w:rPr>
      </w:pPr>
      <w:r>
        <w:rPr>
          <w:rFonts w:hint="eastAsia"/>
          <w:lang w:val="en-US"/>
        </w:rPr>
        <w:t>根据最终的监测结论，本项目</w:t>
      </w:r>
      <w:r>
        <w:rPr>
          <w:lang w:val="en-US"/>
        </w:rPr>
        <w:t>扰动土地整治率为</w:t>
      </w:r>
      <w:r>
        <w:rPr>
          <w:rFonts w:hint="eastAsia"/>
          <w:lang w:val="en-US"/>
        </w:rPr>
        <w:t>100%，水土流失总治理度100%，土壤流失控制比1.0，拦渣率9</w:t>
      </w:r>
      <w:r>
        <w:rPr>
          <w:rFonts w:hint="eastAsia"/>
          <w:lang w:val="en-US" w:eastAsia="zh-CN"/>
        </w:rPr>
        <w:t>9</w:t>
      </w:r>
      <w:r>
        <w:rPr>
          <w:rFonts w:hint="eastAsia"/>
          <w:lang w:val="en-US"/>
        </w:rPr>
        <w:t>%以上，林草植被恢复率</w:t>
      </w:r>
      <w:r>
        <w:rPr>
          <w:rFonts w:hint="eastAsia"/>
          <w:lang w:val="en-US" w:eastAsia="zh-CN"/>
        </w:rPr>
        <w:t>100</w:t>
      </w:r>
      <w:r>
        <w:rPr>
          <w:rFonts w:hint="eastAsia"/>
          <w:lang w:val="en-US"/>
        </w:rPr>
        <w:t>%，林草覆盖率</w:t>
      </w:r>
      <w:r>
        <w:rPr>
          <w:rFonts w:hint="eastAsia"/>
          <w:lang w:val="en-US" w:eastAsia="zh-CN"/>
        </w:rPr>
        <w:t>57</w:t>
      </w:r>
      <w:r>
        <w:rPr>
          <w:rFonts w:hint="eastAsia"/>
          <w:lang w:val="en-US"/>
        </w:rPr>
        <w:t>%</w:t>
      </w:r>
      <w:r>
        <w:rPr>
          <w:lang w:val="en-US"/>
        </w:rPr>
        <w:t>。</w:t>
      </w:r>
      <w:r>
        <w:rPr>
          <w:rFonts w:hint="eastAsia"/>
          <w:lang w:val="en-US" w:eastAsia="zh-CN"/>
        </w:rPr>
        <w:t>水土流失六项指标基本达到方案设计的目标值。</w:t>
      </w:r>
    </w:p>
    <w:p>
      <w:pPr>
        <w:pStyle w:val="24"/>
      </w:pPr>
      <w:r>
        <w:t>在现场勘查、资料收集等过程中，建设单位、监理单位等有关单位对监测工作提供了积极的帮助，在此表示感谢。</w:t>
      </w:r>
    </w:p>
    <w:p>
      <w:pPr>
        <w:ind w:left="0" w:leftChars="0" w:firstLine="0" w:firstLineChars="0"/>
        <w:sectPr>
          <w:headerReference r:id="rId13" w:type="default"/>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ageBreakBefore/>
        <w:snapToGrid w:val="0"/>
        <w:ind w:right="-122" w:rightChars="-51"/>
        <w:jc w:val="center"/>
        <w:rPr>
          <w:rFonts w:ascii="Times New Roman" w:hAnsi="Times New Roman" w:eastAsia="仿宋_GB2312"/>
          <w:b/>
          <w:bCs/>
          <w:color w:val="000000"/>
          <w:sz w:val="32"/>
        </w:rPr>
      </w:pPr>
      <w:r>
        <w:rPr>
          <w:rFonts w:ascii="Times New Roman" w:hAnsi="Times New Roman" w:eastAsia="仿宋_GB2312"/>
          <w:b/>
          <w:bCs/>
          <w:color w:val="000000"/>
          <w:sz w:val="32"/>
        </w:rPr>
        <w:t>水土保持监测特性表</w:t>
      </w:r>
    </w:p>
    <w:tbl>
      <w:tblPr>
        <w:tblStyle w:val="1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74"/>
        <w:gridCol w:w="626"/>
        <w:gridCol w:w="981"/>
        <w:gridCol w:w="1420"/>
        <w:gridCol w:w="1008"/>
        <w:gridCol w:w="488"/>
        <w:gridCol w:w="622"/>
        <w:gridCol w:w="1316"/>
        <w:gridCol w:w="622"/>
        <w:gridCol w:w="815"/>
        <w:gridCol w:w="1072"/>
        <w:gridCol w:w="356"/>
        <w:gridCol w:w="799"/>
        <w:gridCol w:w="1517"/>
        <w:gridCol w:w="108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84" w:hRule="atLeast"/>
          <w:jc w:val="center"/>
        </w:trPr>
        <w:tc>
          <w:tcPr>
            <w:tcW w:w="5000" w:type="pct"/>
            <w:gridSpan w:val="15"/>
            <w:noWrap w:val="0"/>
            <w:vAlign w:val="center"/>
          </w:tcPr>
          <w:p>
            <w:pPr>
              <w:pStyle w:val="17"/>
              <w:bidi w:val="0"/>
            </w:pPr>
            <w:r>
              <w:t>主体工程主要技术指标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28" w:hRule="atLeast"/>
          <w:jc w:val="center"/>
        </w:trPr>
        <w:tc>
          <w:tcPr>
            <w:tcW w:w="486" w:type="pct"/>
            <w:gridSpan w:val="2"/>
            <w:noWrap w:val="0"/>
            <w:vAlign w:val="center"/>
          </w:tcPr>
          <w:p>
            <w:pPr>
              <w:pStyle w:val="17"/>
              <w:bidi w:val="0"/>
            </w:pPr>
            <w:r>
              <w:t>项目名称</w:t>
            </w:r>
          </w:p>
        </w:tc>
        <w:tc>
          <w:tcPr>
            <w:tcW w:w="4513" w:type="pct"/>
            <w:gridSpan w:val="13"/>
            <w:noWrap w:val="0"/>
            <w:vAlign w:val="center"/>
          </w:tcPr>
          <w:p>
            <w:pPr>
              <w:pStyle w:val="17"/>
              <w:bidi w:val="0"/>
            </w:pPr>
            <w:r>
              <w:rPr>
                <w:rFonts w:hint="eastAsia"/>
                <w:lang w:val="en-US" w:eastAsia="zh-CN"/>
              </w:rPr>
              <w:t>东海岛15万m³/d 自来水厂工程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 w:hRule="atLeast"/>
          <w:jc w:val="center"/>
        </w:trPr>
        <w:tc>
          <w:tcPr>
            <w:tcW w:w="486" w:type="pct"/>
            <w:gridSpan w:val="2"/>
            <w:vMerge w:val="restart"/>
            <w:noWrap w:val="0"/>
            <w:vAlign w:val="center"/>
          </w:tcPr>
          <w:p>
            <w:pPr>
              <w:pStyle w:val="17"/>
              <w:bidi w:val="0"/>
            </w:pPr>
            <w:r>
              <w:t>建设规模</w:t>
            </w:r>
          </w:p>
        </w:tc>
        <w:tc>
          <w:tcPr>
            <w:tcW w:w="1454" w:type="pct"/>
            <w:gridSpan w:val="4"/>
            <w:vMerge w:val="restart"/>
            <w:noWrap w:val="0"/>
            <w:vAlign w:val="center"/>
          </w:tcPr>
          <w:p>
            <w:pPr>
              <w:pStyle w:val="17"/>
              <w:bidi w:val="0"/>
            </w:pPr>
            <w:r>
              <w:rPr>
                <w:rFonts w:hint="default" w:ascii="Times New Roman" w:hAnsi="Times New Roman" w:eastAsia="仿宋" w:cs="Times New Roman"/>
                <w:sz w:val="21"/>
                <w:szCs w:val="21"/>
              </w:rPr>
              <w:t>项目</w:t>
            </w:r>
            <w:r>
              <w:rPr>
                <w:rFonts w:hint="default" w:ascii="Times New Roman" w:hAnsi="Times New Roman" w:eastAsia="仿宋" w:cs="Times New Roman"/>
                <w:snapToGrid w:val="0"/>
                <w:kern w:val="0"/>
                <w:sz w:val="21"/>
                <w:szCs w:val="21"/>
              </w:rPr>
              <w:t>红线总占地面积10.03hm</w:t>
            </w:r>
            <w:r>
              <w:rPr>
                <w:rFonts w:hint="default" w:ascii="Times New Roman" w:hAnsi="Times New Roman" w:eastAsia="仿宋" w:cs="Times New Roman"/>
                <w:snapToGrid w:val="0"/>
                <w:kern w:val="0"/>
                <w:sz w:val="21"/>
                <w:szCs w:val="21"/>
                <w:vertAlign w:val="superscript"/>
              </w:rPr>
              <w:t>2</w:t>
            </w:r>
            <w:r>
              <w:rPr>
                <w:rFonts w:hint="default" w:ascii="Times New Roman" w:hAnsi="Times New Roman" w:eastAsia="仿宋" w:cs="Times New Roman"/>
                <w:snapToGrid w:val="0"/>
                <w:kern w:val="0"/>
                <w:sz w:val="21"/>
                <w:szCs w:val="21"/>
              </w:rPr>
              <w:t>，其中一期建设用地面积7.49hm</w:t>
            </w:r>
            <w:r>
              <w:rPr>
                <w:rFonts w:hint="default" w:ascii="Times New Roman" w:hAnsi="Times New Roman" w:eastAsia="仿宋" w:cs="Times New Roman"/>
                <w:snapToGrid w:val="0"/>
                <w:kern w:val="0"/>
                <w:sz w:val="21"/>
                <w:szCs w:val="21"/>
                <w:vertAlign w:val="superscript"/>
              </w:rPr>
              <w:t>2</w:t>
            </w:r>
            <w:r>
              <w:rPr>
                <w:rFonts w:hint="default" w:ascii="Times New Roman" w:hAnsi="Times New Roman" w:eastAsia="仿宋" w:cs="Times New Roman"/>
                <w:snapToGrid w:val="0"/>
                <w:kern w:val="0"/>
                <w:sz w:val="21"/>
                <w:szCs w:val="21"/>
              </w:rPr>
              <w:t>，预留用地面积2.54hm</w:t>
            </w:r>
            <w:r>
              <w:rPr>
                <w:rFonts w:hint="default" w:ascii="Times New Roman" w:hAnsi="Times New Roman" w:eastAsia="仿宋" w:cs="Times New Roman"/>
                <w:snapToGrid w:val="0"/>
                <w:kern w:val="0"/>
                <w:sz w:val="21"/>
                <w:szCs w:val="21"/>
                <w:vertAlign w:val="superscript"/>
              </w:rPr>
              <w:t>2</w:t>
            </w:r>
            <w:r>
              <w:rPr>
                <w:rFonts w:hint="default" w:ascii="Times New Roman" w:hAnsi="Times New Roman" w:eastAsia="仿宋" w:cs="Times New Roman"/>
                <w:snapToGrid w:val="0"/>
                <w:kern w:val="0"/>
                <w:sz w:val="21"/>
                <w:szCs w:val="21"/>
              </w:rPr>
              <w:t>，预留用地将用于二期开发。</w:t>
            </w:r>
            <w:r>
              <w:rPr>
                <w:rFonts w:hint="default" w:ascii="Times New Roman" w:hAnsi="Times New Roman" w:eastAsia="仿宋" w:cs="Times New Roman"/>
                <w:sz w:val="21"/>
                <w:szCs w:val="21"/>
              </w:rPr>
              <w:t>总建筑面积40300</w:t>
            </w:r>
            <w:r>
              <w:rPr>
                <w:rFonts w:hint="default" w:ascii="Times New Roman" w:hAnsi="Times New Roman" w:eastAsia="仿宋" w:cs="Times New Roman"/>
                <w:snapToGrid w:val="0"/>
                <w:kern w:val="0"/>
                <w:sz w:val="21"/>
                <w:szCs w:val="21"/>
              </w:rPr>
              <w:t xml:space="preserve"> m</w:t>
            </w:r>
            <w:r>
              <w:rPr>
                <w:rFonts w:hint="default" w:ascii="Times New Roman" w:hAnsi="Times New Roman" w:eastAsia="仿宋" w:cs="Times New Roman"/>
                <w:snapToGrid w:val="0"/>
                <w:kern w:val="0"/>
                <w:sz w:val="21"/>
                <w:szCs w:val="21"/>
                <w:vertAlign w:val="superscript"/>
              </w:rPr>
              <w:t>2</w:t>
            </w:r>
            <w:r>
              <w:rPr>
                <w:rFonts w:hint="default" w:ascii="Times New Roman" w:hAnsi="Times New Roman" w:eastAsia="仿宋" w:cs="Times New Roman"/>
                <w:sz w:val="21"/>
                <w:szCs w:val="21"/>
              </w:rPr>
              <w:t>，构建筑物占地面积36730</w:t>
            </w:r>
            <w:r>
              <w:rPr>
                <w:rFonts w:hint="default" w:ascii="Times New Roman" w:hAnsi="Times New Roman" w:eastAsia="仿宋" w:cs="Times New Roman"/>
                <w:snapToGrid w:val="0"/>
                <w:kern w:val="0"/>
                <w:sz w:val="21"/>
                <w:szCs w:val="21"/>
              </w:rPr>
              <w:t xml:space="preserve"> m</w:t>
            </w:r>
            <w:r>
              <w:rPr>
                <w:rFonts w:hint="default" w:ascii="Times New Roman" w:hAnsi="Times New Roman" w:eastAsia="仿宋" w:cs="Times New Roman"/>
                <w:snapToGrid w:val="0"/>
                <w:kern w:val="0"/>
                <w:sz w:val="21"/>
                <w:szCs w:val="21"/>
                <w:vertAlign w:val="superscript"/>
              </w:rPr>
              <w:t>2</w:t>
            </w:r>
            <w:r>
              <w:rPr>
                <w:rFonts w:hint="default" w:ascii="Times New Roman" w:hAnsi="Times New Roman" w:eastAsia="仿宋" w:cs="Times New Roman"/>
                <w:sz w:val="21"/>
                <w:szCs w:val="21"/>
              </w:rPr>
              <w:t>，建筑容积率21.7%，建筑密度19.83%，绿化率57%。</w:t>
            </w:r>
          </w:p>
        </w:tc>
        <w:tc>
          <w:tcPr>
            <w:tcW w:w="1259" w:type="pct"/>
            <w:gridSpan w:val="4"/>
            <w:noWrap w:val="0"/>
            <w:vAlign w:val="center"/>
          </w:tcPr>
          <w:p>
            <w:pPr>
              <w:pStyle w:val="17"/>
              <w:bidi w:val="0"/>
            </w:pPr>
            <w:r>
              <w:t>建设单位、联系人</w:t>
            </w:r>
          </w:p>
        </w:tc>
        <w:tc>
          <w:tcPr>
            <w:tcW w:w="1800" w:type="pct"/>
            <w:gridSpan w:val="5"/>
            <w:noWrap w:val="0"/>
            <w:vAlign w:val="center"/>
          </w:tcPr>
          <w:p>
            <w:pPr>
              <w:pStyle w:val="17"/>
              <w:bidi w:val="0"/>
            </w:pPr>
            <w:r>
              <w:rPr>
                <w:rFonts w:hint="eastAsia"/>
                <w:lang w:val="en-US" w:eastAsia="zh-CN"/>
              </w:rPr>
              <w:t>湛江开发区园区建设投资有限公司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80" w:hRule="atLeast"/>
          <w:jc w:val="center"/>
        </w:trPr>
        <w:tc>
          <w:tcPr>
            <w:tcW w:w="486" w:type="pct"/>
            <w:gridSpan w:val="2"/>
            <w:vMerge w:val="continue"/>
            <w:noWrap w:val="0"/>
            <w:vAlign w:val="center"/>
          </w:tcPr>
          <w:p>
            <w:pPr>
              <w:pStyle w:val="17"/>
              <w:bidi w:val="0"/>
            </w:pPr>
          </w:p>
        </w:tc>
        <w:tc>
          <w:tcPr>
            <w:tcW w:w="1454" w:type="pct"/>
            <w:gridSpan w:val="4"/>
            <w:vMerge w:val="continue"/>
            <w:noWrap w:val="0"/>
            <w:vAlign w:val="center"/>
          </w:tcPr>
          <w:p>
            <w:pPr>
              <w:pStyle w:val="17"/>
              <w:bidi w:val="0"/>
            </w:pPr>
          </w:p>
        </w:tc>
        <w:tc>
          <w:tcPr>
            <w:tcW w:w="1259" w:type="pct"/>
            <w:gridSpan w:val="4"/>
            <w:noWrap w:val="0"/>
            <w:vAlign w:val="center"/>
          </w:tcPr>
          <w:p>
            <w:pPr>
              <w:pStyle w:val="17"/>
              <w:bidi w:val="0"/>
            </w:pPr>
            <w:r>
              <w:t>建设地点</w:t>
            </w:r>
          </w:p>
        </w:tc>
        <w:tc>
          <w:tcPr>
            <w:tcW w:w="1800" w:type="pct"/>
            <w:gridSpan w:val="5"/>
            <w:noWrap w:val="0"/>
            <w:vAlign w:val="center"/>
          </w:tcPr>
          <w:p>
            <w:pPr>
              <w:pStyle w:val="17"/>
              <w:bidi w:val="0"/>
            </w:pPr>
            <w:r>
              <w:rPr>
                <w:rFonts w:hint="default" w:ascii="Times New Roman" w:hAnsi="Times New Roman" w:eastAsia="仿宋" w:cs="Times New Roman"/>
                <w:sz w:val="21"/>
                <w:szCs w:val="21"/>
              </w:rPr>
              <w:t>湛江市东海岛东山镇调伦村东海大道以北、什足河以东、规划东成大道以南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0" w:hRule="atLeast"/>
          <w:jc w:val="center"/>
        </w:trPr>
        <w:tc>
          <w:tcPr>
            <w:tcW w:w="486" w:type="pct"/>
            <w:gridSpan w:val="2"/>
            <w:vMerge w:val="continue"/>
            <w:noWrap w:val="0"/>
            <w:vAlign w:val="center"/>
          </w:tcPr>
          <w:p>
            <w:pPr>
              <w:pStyle w:val="17"/>
              <w:bidi w:val="0"/>
            </w:pPr>
          </w:p>
        </w:tc>
        <w:tc>
          <w:tcPr>
            <w:tcW w:w="1454" w:type="pct"/>
            <w:gridSpan w:val="4"/>
            <w:vMerge w:val="continue"/>
            <w:noWrap w:val="0"/>
            <w:vAlign w:val="center"/>
          </w:tcPr>
          <w:p>
            <w:pPr>
              <w:pStyle w:val="17"/>
              <w:bidi w:val="0"/>
            </w:pPr>
          </w:p>
        </w:tc>
        <w:tc>
          <w:tcPr>
            <w:tcW w:w="1259" w:type="pct"/>
            <w:gridSpan w:val="4"/>
            <w:noWrap w:val="0"/>
            <w:vAlign w:val="center"/>
          </w:tcPr>
          <w:p>
            <w:pPr>
              <w:pStyle w:val="17"/>
              <w:bidi w:val="0"/>
            </w:pPr>
            <w:r>
              <w:t>所属流域</w:t>
            </w:r>
          </w:p>
        </w:tc>
        <w:tc>
          <w:tcPr>
            <w:tcW w:w="1800" w:type="pct"/>
            <w:gridSpan w:val="5"/>
            <w:noWrap w:val="0"/>
            <w:vAlign w:val="center"/>
          </w:tcPr>
          <w:p>
            <w:pPr>
              <w:pStyle w:val="17"/>
              <w:bidi w:val="0"/>
            </w:pPr>
            <w:r>
              <w:t>珠江流域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80" w:hRule="atLeast"/>
          <w:jc w:val="center"/>
        </w:trPr>
        <w:tc>
          <w:tcPr>
            <w:tcW w:w="486" w:type="pct"/>
            <w:gridSpan w:val="2"/>
            <w:vMerge w:val="continue"/>
            <w:noWrap w:val="0"/>
            <w:vAlign w:val="center"/>
          </w:tcPr>
          <w:p>
            <w:pPr>
              <w:pStyle w:val="17"/>
              <w:bidi w:val="0"/>
            </w:pPr>
          </w:p>
        </w:tc>
        <w:tc>
          <w:tcPr>
            <w:tcW w:w="1454" w:type="pct"/>
            <w:gridSpan w:val="4"/>
            <w:vMerge w:val="continue"/>
            <w:noWrap w:val="0"/>
            <w:vAlign w:val="center"/>
          </w:tcPr>
          <w:p>
            <w:pPr>
              <w:pStyle w:val="17"/>
              <w:bidi w:val="0"/>
            </w:pPr>
          </w:p>
        </w:tc>
        <w:tc>
          <w:tcPr>
            <w:tcW w:w="1259" w:type="pct"/>
            <w:gridSpan w:val="4"/>
            <w:noWrap w:val="0"/>
            <w:vAlign w:val="center"/>
          </w:tcPr>
          <w:p>
            <w:pPr>
              <w:pStyle w:val="17"/>
              <w:bidi w:val="0"/>
            </w:pPr>
            <w:r>
              <w:t>概算总投资</w:t>
            </w:r>
          </w:p>
        </w:tc>
        <w:tc>
          <w:tcPr>
            <w:tcW w:w="1800" w:type="pct"/>
            <w:gridSpan w:val="5"/>
            <w:noWrap w:val="0"/>
            <w:vAlign w:val="center"/>
          </w:tcPr>
          <w:p>
            <w:pPr>
              <w:pStyle w:val="17"/>
              <w:bidi w:val="0"/>
            </w:pPr>
            <w:r>
              <w:rPr>
                <w:rFonts w:hint="eastAsia"/>
                <w:highlight w:val="none"/>
                <w:lang w:val="en-US" w:eastAsia="zh-CN"/>
              </w:rPr>
              <w:t>4.32</w:t>
            </w:r>
            <w:r>
              <w:rPr>
                <w:highlight w:val="none"/>
              </w:rPr>
              <w:t>亿元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8" w:hRule="atLeast"/>
          <w:jc w:val="center"/>
        </w:trPr>
        <w:tc>
          <w:tcPr>
            <w:tcW w:w="486" w:type="pct"/>
            <w:gridSpan w:val="2"/>
            <w:vMerge w:val="continue"/>
            <w:noWrap w:val="0"/>
            <w:vAlign w:val="center"/>
          </w:tcPr>
          <w:p>
            <w:pPr>
              <w:pStyle w:val="17"/>
              <w:bidi w:val="0"/>
            </w:pPr>
          </w:p>
        </w:tc>
        <w:tc>
          <w:tcPr>
            <w:tcW w:w="1454" w:type="pct"/>
            <w:gridSpan w:val="4"/>
            <w:vMerge w:val="continue"/>
            <w:noWrap w:val="0"/>
            <w:vAlign w:val="center"/>
          </w:tcPr>
          <w:p>
            <w:pPr>
              <w:pStyle w:val="17"/>
              <w:bidi w:val="0"/>
            </w:pPr>
          </w:p>
        </w:tc>
        <w:tc>
          <w:tcPr>
            <w:tcW w:w="1259" w:type="pct"/>
            <w:gridSpan w:val="4"/>
            <w:noWrap w:val="0"/>
            <w:vAlign w:val="center"/>
          </w:tcPr>
          <w:p>
            <w:pPr>
              <w:pStyle w:val="17"/>
              <w:bidi w:val="0"/>
            </w:pPr>
            <w:r>
              <w:t>工程工期</w:t>
            </w:r>
          </w:p>
        </w:tc>
        <w:tc>
          <w:tcPr>
            <w:tcW w:w="1800" w:type="pct"/>
            <w:gridSpan w:val="5"/>
            <w:noWrap w:val="0"/>
            <w:vAlign w:val="center"/>
          </w:tcPr>
          <w:p>
            <w:pPr>
              <w:pStyle w:val="17"/>
              <w:bidi w:val="0"/>
            </w:pPr>
            <w:r>
              <w:rPr>
                <w:rFonts w:hint="eastAsia"/>
                <w:highlight w:val="none"/>
                <w:lang w:val="en-US" w:eastAsia="zh-CN"/>
              </w:rPr>
              <w:t>2017</w:t>
            </w:r>
            <w:r>
              <w:rPr>
                <w:rFonts w:hint="eastAsia"/>
                <w:highlight w:val="none"/>
              </w:rPr>
              <w:t>年</w:t>
            </w:r>
            <w:r>
              <w:rPr>
                <w:rFonts w:hint="eastAsia"/>
                <w:highlight w:val="none"/>
                <w:lang w:val="en-US" w:eastAsia="zh-CN"/>
              </w:rPr>
              <w:t>6</w:t>
            </w:r>
            <w:r>
              <w:rPr>
                <w:rFonts w:hint="eastAsia"/>
                <w:highlight w:val="none"/>
              </w:rPr>
              <w:t>月</w:t>
            </w:r>
            <w:r>
              <w:rPr>
                <w:rFonts w:hint="eastAsia"/>
                <w:highlight w:val="none"/>
                <w:lang w:val="en-US" w:eastAsia="zh-CN"/>
              </w:rPr>
              <w:t>至2020</w:t>
            </w:r>
            <w:r>
              <w:rPr>
                <w:rFonts w:hint="eastAsia"/>
                <w:highlight w:val="none"/>
              </w:rPr>
              <w:t>年</w:t>
            </w:r>
            <w:r>
              <w:rPr>
                <w:rFonts w:hint="eastAsia"/>
                <w:highlight w:val="none"/>
                <w:lang w:val="en-US" w:eastAsia="zh-CN"/>
              </w:rPr>
              <w:t>12</w:t>
            </w:r>
            <w:r>
              <w:rPr>
                <w:rFonts w:hint="eastAsia"/>
                <w:highlight w:val="none"/>
              </w:rPr>
              <w:t>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6" w:hRule="atLeast"/>
          <w:jc w:val="center"/>
        </w:trPr>
        <w:tc>
          <w:tcPr>
            <w:tcW w:w="5000" w:type="pct"/>
            <w:gridSpan w:val="15"/>
            <w:noWrap w:val="0"/>
            <w:vAlign w:val="center"/>
          </w:tcPr>
          <w:p>
            <w:pPr>
              <w:pStyle w:val="17"/>
              <w:bidi w:val="0"/>
            </w:pPr>
            <w:r>
              <w:t>水土保持监测指标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76" w:hRule="atLeast"/>
          <w:jc w:val="center"/>
        </w:trPr>
        <w:tc>
          <w:tcPr>
            <w:tcW w:w="1382" w:type="pct"/>
            <w:gridSpan w:val="4"/>
            <w:noWrap w:val="0"/>
            <w:vAlign w:val="center"/>
          </w:tcPr>
          <w:p>
            <w:pPr>
              <w:pStyle w:val="17"/>
              <w:bidi w:val="0"/>
            </w:pPr>
            <w:r>
              <w:t>监测单位</w:t>
            </w:r>
          </w:p>
        </w:tc>
        <w:tc>
          <w:tcPr>
            <w:tcW w:w="1513" w:type="pct"/>
            <w:gridSpan w:val="5"/>
            <w:noWrap w:val="0"/>
            <w:vAlign w:val="center"/>
          </w:tcPr>
          <w:p>
            <w:pPr>
              <w:pStyle w:val="17"/>
              <w:bidi w:val="0"/>
              <w:rPr>
                <w:rFonts w:hint="eastAsia" w:eastAsia="仿宋_GB2312"/>
                <w:lang w:eastAsia="zh-CN"/>
              </w:rPr>
            </w:pPr>
            <w:r>
              <w:rPr>
                <w:rFonts w:hint="eastAsia"/>
                <w:lang w:eastAsia="zh-CN"/>
              </w:rPr>
              <w:t>广东环晟水利环境科技有限公司</w:t>
            </w:r>
          </w:p>
        </w:tc>
        <w:tc>
          <w:tcPr>
            <w:tcW w:w="837" w:type="pct"/>
            <w:gridSpan w:val="3"/>
            <w:noWrap w:val="0"/>
            <w:vAlign w:val="center"/>
          </w:tcPr>
          <w:p>
            <w:pPr>
              <w:pStyle w:val="17"/>
              <w:bidi w:val="0"/>
            </w:pPr>
            <w:r>
              <w:t>联系人及电话</w:t>
            </w:r>
          </w:p>
        </w:tc>
        <w:tc>
          <w:tcPr>
            <w:tcW w:w="1267" w:type="pct"/>
            <w:gridSpan w:val="3"/>
            <w:noWrap w:val="0"/>
            <w:vAlign w:val="center"/>
          </w:tcPr>
          <w:p>
            <w:pPr>
              <w:pStyle w:val="17"/>
              <w:bidi w:val="0"/>
              <w:rPr>
                <w:rFonts w:hint="default" w:eastAsia="仿宋_GB2312"/>
                <w:lang w:val="en-US" w:eastAsia="zh-CN"/>
              </w:rPr>
            </w:pPr>
            <w:r>
              <w:rPr>
                <w:rFonts w:hint="eastAsia"/>
                <w:lang w:val="en-US" w:eastAsia="zh-CN"/>
              </w:rPr>
              <w:t>陆玲</w:t>
            </w:r>
            <w:r>
              <w:t xml:space="preserve"> </w:t>
            </w:r>
            <w:r>
              <w:rPr>
                <w:rFonts w:hint="eastAsia"/>
                <w:lang w:val="en-US" w:eastAsia="zh-CN"/>
              </w:rPr>
              <w:t>15812372721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4" w:hRule="atLeast"/>
          <w:jc w:val="center"/>
        </w:trPr>
        <w:tc>
          <w:tcPr>
            <w:tcW w:w="1382" w:type="pct"/>
            <w:gridSpan w:val="4"/>
            <w:noWrap w:val="0"/>
            <w:vAlign w:val="center"/>
          </w:tcPr>
          <w:p>
            <w:pPr>
              <w:pStyle w:val="17"/>
              <w:bidi w:val="0"/>
            </w:pPr>
            <w:r>
              <w:t>自然地理类型</w:t>
            </w:r>
          </w:p>
        </w:tc>
        <w:tc>
          <w:tcPr>
            <w:tcW w:w="1513" w:type="pct"/>
            <w:gridSpan w:val="5"/>
            <w:noWrap w:val="0"/>
            <w:vAlign w:val="center"/>
          </w:tcPr>
          <w:p>
            <w:pPr>
              <w:pStyle w:val="17"/>
              <w:bidi w:val="0"/>
            </w:pPr>
            <w:r>
              <w:rPr>
                <w:rFonts w:hint="eastAsia"/>
              </w:rPr>
              <w:t>丘陵、平地</w:t>
            </w:r>
          </w:p>
        </w:tc>
        <w:tc>
          <w:tcPr>
            <w:tcW w:w="837" w:type="pct"/>
            <w:gridSpan w:val="3"/>
            <w:noWrap w:val="0"/>
            <w:vAlign w:val="center"/>
          </w:tcPr>
          <w:p>
            <w:pPr>
              <w:pStyle w:val="17"/>
              <w:bidi w:val="0"/>
            </w:pPr>
            <w:r>
              <w:t>防治标准</w:t>
            </w:r>
          </w:p>
        </w:tc>
        <w:tc>
          <w:tcPr>
            <w:tcW w:w="1267" w:type="pct"/>
            <w:gridSpan w:val="3"/>
            <w:noWrap w:val="0"/>
            <w:vAlign w:val="center"/>
          </w:tcPr>
          <w:p>
            <w:pPr>
              <w:pStyle w:val="17"/>
              <w:bidi w:val="0"/>
            </w:pPr>
            <w:r>
              <w:rPr>
                <w:rFonts w:hint="eastAsia"/>
                <w:lang w:val="en-US" w:eastAsia="zh-CN"/>
              </w:rPr>
              <w:t>三</w:t>
            </w:r>
            <w:r>
              <w:t>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252" w:type="pct"/>
            <w:vMerge w:val="restart"/>
            <w:noWrap w:val="0"/>
            <w:vAlign w:val="center"/>
          </w:tcPr>
          <w:p>
            <w:pPr>
              <w:pStyle w:val="17"/>
              <w:bidi w:val="0"/>
            </w:pPr>
            <w:r>
              <w:t>监测内容</w:t>
            </w:r>
          </w:p>
        </w:tc>
        <w:tc>
          <w:tcPr>
            <w:tcW w:w="1129" w:type="pct"/>
            <w:gridSpan w:val="3"/>
            <w:noWrap w:val="0"/>
            <w:vAlign w:val="center"/>
          </w:tcPr>
          <w:p>
            <w:pPr>
              <w:pStyle w:val="17"/>
              <w:bidi w:val="0"/>
            </w:pPr>
            <w:r>
              <w:t>监测指标</w:t>
            </w:r>
          </w:p>
        </w:tc>
        <w:tc>
          <w:tcPr>
            <w:tcW w:w="1513" w:type="pct"/>
            <w:gridSpan w:val="5"/>
            <w:noWrap w:val="0"/>
            <w:vAlign w:val="center"/>
          </w:tcPr>
          <w:p>
            <w:pPr>
              <w:pStyle w:val="17"/>
              <w:bidi w:val="0"/>
            </w:pPr>
            <w:r>
              <w:t>监测方法（设施）</w:t>
            </w:r>
          </w:p>
        </w:tc>
        <w:tc>
          <w:tcPr>
            <w:tcW w:w="837" w:type="pct"/>
            <w:gridSpan w:val="3"/>
            <w:noWrap w:val="0"/>
            <w:vAlign w:val="center"/>
          </w:tcPr>
          <w:p>
            <w:pPr>
              <w:pStyle w:val="17"/>
              <w:bidi w:val="0"/>
              <w:rPr>
                <w:rFonts w:hint="default" w:eastAsia="仿宋_GB2312"/>
                <w:lang w:val="en-US" w:eastAsia="zh-CN"/>
              </w:rPr>
            </w:pPr>
            <w:r>
              <w:rPr>
                <w:rFonts w:hint="eastAsia"/>
                <w:lang w:val="en-US" w:eastAsia="zh-CN"/>
              </w:rPr>
              <w:t>三色评价得分</w:t>
            </w:r>
          </w:p>
        </w:tc>
        <w:tc>
          <w:tcPr>
            <w:tcW w:w="1267" w:type="pct"/>
            <w:gridSpan w:val="3"/>
            <w:noWrap w:val="0"/>
            <w:vAlign w:val="center"/>
          </w:tcPr>
          <w:p>
            <w:pPr>
              <w:pStyle w:val="17"/>
              <w:bidi w:val="0"/>
            </w:pPr>
            <w:r>
              <w:rPr>
                <w:rFonts w:hint="eastAsia"/>
                <w:lang w:val="en-US" w:eastAsia="zh-CN"/>
              </w:rPr>
              <w:t>92.38（绿色</w:t>
            </w:r>
            <w: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2" w:hRule="atLeast"/>
          <w:jc w:val="center"/>
        </w:trPr>
        <w:tc>
          <w:tcPr>
            <w:tcW w:w="252" w:type="pct"/>
            <w:vMerge w:val="continue"/>
            <w:noWrap w:val="0"/>
            <w:vAlign w:val="center"/>
          </w:tcPr>
          <w:p>
            <w:pPr>
              <w:pStyle w:val="17"/>
              <w:bidi w:val="0"/>
            </w:pPr>
          </w:p>
        </w:tc>
        <w:tc>
          <w:tcPr>
            <w:tcW w:w="1129" w:type="pct"/>
            <w:gridSpan w:val="3"/>
            <w:noWrap w:val="0"/>
            <w:vAlign w:val="center"/>
          </w:tcPr>
          <w:p>
            <w:pPr>
              <w:pStyle w:val="17"/>
              <w:bidi w:val="0"/>
            </w:pPr>
            <w:r>
              <w:t>1.水土流失状况监测</w:t>
            </w:r>
          </w:p>
        </w:tc>
        <w:tc>
          <w:tcPr>
            <w:tcW w:w="1513" w:type="pct"/>
            <w:gridSpan w:val="5"/>
            <w:noWrap w:val="0"/>
            <w:vAlign w:val="center"/>
          </w:tcPr>
          <w:p>
            <w:pPr>
              <w:pStyle w:val="17"/>
              <w:bidi w:val="0"/>
            </w:pPr>
            <w:r>
              <w:t>地面观测、实地量测、遥感监测和资料分析</w:t>
            </w:r>
          </w:p>
        </w:tc>
        <w:tc>
          <w:tcPr>
            <w:tcW w:w="837" w:type="pct"/>
            <w:gridSpan w:val="3"/>
            <w:noWrap w:val="0"/>
            <w:vAlign w:val="center"/>
          </w:tcPr>
          <w:p>
            <w:pPr>
              <w:pStyle w:val="17"/>
              <w:bidi w:val="0"/>
            </w:pPr>
            <w:r>
              <w:t>2.防治责任范围监测</w:t>
            </w:r>
          </w:p>
        </w:tc>
        <w:tc>
          <w:tcPr>
            <w:tcW w:w="1267" w:type="pct"/>
            <w:gridSpan w:val="3"/>
            <w:noWrap w:val="0"/>
            <w:vAlign w:val="center"/>
          </w:tcPr>
          <w:p>
            <w:pPr>
              <w:pStyle w:val="17"/>
              <w:bidi w:val="0"/>
            </w:pPr>
            <w:r>
              <w:t>实地量测、遥感监测、资料分析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252" w:type="pct"/>
            <w:vMerge w:val="continue"/>
            <w:noWrap w:val="0"/>
            <w:vAlign w:val="center"/>
          </w:tcPr>
          <w:p>
            <w:pPr>
              <w:pStyle w:val="17"/>
              <w:bidi w:val="0"/>
            </w:pPr>
          </w:p>
        </w:tc>
        <w:tc>
          <w:tcPr>
            <w:tcW w:w="1129" w:type="pct"/>
            <w:gridSpan w:val="3"/>
            <w:noWrap w:val="0"/>
            <w:vAlign w:val="center"/>
          </w:tcPr>
          <w:p>
            <w:pPr>
              <w:pStyle w:val="17"/>
              <w:bidi w:val="0"/>
            </w:pPr>
            <w:r>
              <w:t>3.水土保持措施情况监测</w:t>
            </w:r>
          </w:p>
        </w:tc>
        <w:tc>
          <w:tcPr>
            <w:tcW w:w="1513" w:type="pct"/>
            <w:gridSpan w:val="5"/>
            <w:noWrap w:val="0"/>
            <w:vAlign w:val="center"/>
          </w:tcPr>
          <w:p>
            <w:pPr>
              <w:pStyle w:val="17"/>
              <w:bidi w:val="0"/>
            </w:pPr>
            <w:r>
              <w:t>实地量测、遥感监测、资料分析</w:t>
            </w:r>
          </w:p>
        </w:tc>
        <w:tc>
          <w:tcPr>
            <w:tcW w:w="837" w:type="pct"/>
            <w:gridSpan w:val="3"/>
            <w:noWrap w:val="0"/>
            <w:vAlign w:val="center"/>
          </w:tcPr>
          <w:p>
            <w:pPr>
              <w:pStyle w:val="17"/>
              <w:bidi w:val="0"/>
            </w:pPr>
            <w:r>
              <w:t>4.防治措施效果监测</w:t>
            </w:r>
          </w:p>
        </w:tc>
        <w:tc>
          <w:tcPr>
            <w:tcW w:w="1267" w:type="pct"/>
            <w:gridSpan w:val="3"/>
            <w:noWrap w:val="0"/>
            <w:vAlign w:val="center"/>
          </w:tcPr>
          <w:p>
            <w:pPr>
              <w:pStyle w:val="17"/>
              <w:bidi w:val="0"/>
            </w:pPr>
            <w:r>
              <w:t>实地量测、遥感监测、资料分析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 w:hRule="atLeast"/>
          <w:jc w:val="center"/>
        </w:trPr>
        <w:tc>
          <w:tcPr>
            <w:tcW w:w="252" w:type="pct"/>
            <w:vMerge w:val="continue"/>
            <w:noWrap w:val="0"/>
            <w:vAlign w:val="center"/>
          </w:tcPr>
          <w:p>
            <w:pPr>
              <w:pStyle w:val="17"/>
              <w:bidi w:val="0"/>
            </w:pPr>
          </w:p>
        </w:tc>
        <w:tc>
          <w:tcPr>
            <w:tcW w:w="1129" w:type="pct"/>
            <w:gridSpan w:val="3"/>
            <w:noWrap w:val="0"/>
            <w:vAlign w:val="center"/>
          </w:tcPr>
          <w:p>
            <w:pPr>
              <w:pStyle w:val="17"/>
              <w:bidi w:val="0"/>
            </w:pPr>
            <w:r>
              <w:t>5.水土流失危害监测</w:t>
            </w:r>
          </w:p>
        </w:tc>
        <w:tc>
          <w:tcPr>
            <w:tcW w:w="1513" w:type="pct"/>
            <w:gridSpan w:val="5"/>
            <w:noWrap w:val="0"/>
            <w:vAlign w:val="center"/>
          </w:tcPr>
          <w:p>
            <w:pPr>
              <w:pStyle w:val="17"/>
              <w:bidi w:val="0"/>
            </w:pPr>
            <w:r>
              <w:t>实地量测、遥感监测、资料分析</w:t>
            </w:r>
          </w:p>
        </w:tc>
        <w:tc>
          <w:tcPr>
            <w:tcW w:w="837" w:type="pct"/>
            <w:gridSpan w:val="3"/>
            <w:noWrap w:val="0"/>
            <w:vAlign w:val="center"/>
          </w:tcPr>
          <w:p>
            <w:pPr>
              <w:pStyle w:val="17"/>
              <w:bidi w:val="0"/>
            </w:pPr>
            <w:r>
              <w:t>水土流失背景值</w:t>
            </w:r>
          </w:p>
        </w:tc>
        <w:tc>
          <w:tcPr>
            <w:tcW w:w="1267" w:type="pct"/>
            <w:gridSpan w:val="3"/>
            <w:noWrap w:val="0"/>
            <w:vAlign w:val="center"/>
          </w:tcPr>
          <w:p>
            <w:pPr>
              <w:pStyle w:val="17"/>
              <w:bidi w:val="0"/>
            </w:pPr>
            <w:r>
              <w:t>500t/km</w:t>
            </w:r>
            <w:r>
              <w:rPr>
                <w:vertAlign w:val="superscript"/>
              </w:rPr>
              <w:t>2</w:t>
            </w:r>
            <w:r>
              <w:t>·a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96" w:hRule="atLeast"/>
          <w:jc w:val="center"/>
        </w:trPr>
        <w:tc>
          <w:tcPr>
            <w:tcW w:w="1382" w:type="pct"/>
            <w:gridSpan w:val="4"/>
            <w:noWrap w:val="0"/>
            <w:vAlign w:val="center"/>
          </w:tcPr>
          <w:p>
            <w:pPr>
              <w:pStyle w:val="17"/>
              <w:bidi w:val="0"/>
            </w:pPr>
            <w:r>
              <w:t>方案设计防治责任范围</w:t>
            </w:r>
          </w:p>
        </w:tc>
        <w:tc>
          <w:tcPr>
            <w:tcW w:w="1513" w:type="pct"/>
            <w:gridSpan w:val="5"/>
            <w:noWrap w:val="0"/>
            <w:vAlign w:val="center"/>
          </w:tcPr>
          <w:p>
            <w:pPr>
              <w:pStyle w:val="17"/>
              <w:bidi w:val="0"/>
            </w:pPr>
            <w:r>
              <w:rPr>
                <w:rFonts w:hint="eastAsia"/>
                <w:lang w:val="en-US" w:eastAsia="zh-CN"/>
              </w:rPr>
              <w:t>10.40</w:t>
            </w:r>
            <w:r>
              <w:t>hm</w:t>
            </w:r>
            <w:r>
              <w:rPr>
                <w:vertAlign w:val="superscript"/>
              </w:rPr>
              <w:t>2</w:t>
            </w:r>
          </w:p>
        </w:tc>
        <w:tc>
          <w:tcPr>
            <w:tcW w:w="837" w:type="pct"/>
            <w:gridSpan w:val="3"/>
            <w:noWrap w:val="0"/>
            <w:vAlign w:val="center"/>
          </w:tcPr>
          <w:p>
            <w:pPr>
              <w:pStyle w:val="17"/>
              <w:bidi w:val="0"/>
            </w:pPr>
            <w:r>
              <w:t>容许土壤流失量</w:t>
            </w:r>
          </w:p>
        </w:tc>
        <w:tc>
          <w:tcPr>
            <w:tcW w:w="1267" w:type="pct"/>
            <w:gridSpan w:val="3"/>
            <w:noWrap w:val="0"/>
            <w:vAlign w:val="center"/>
          </w:tcPr>
          <w:p>
            <w:pPr>
              <w:pStyle w:val="17"/>
              <w:bidi w:val="0"/>
            </w:pPr>
            <w:r>
              <w:t>500t/km</w:t>
            </w:r>
            <w:r>
              <w:rPr>
                <w:szCs w:val="22"/>
                <w:vertAlign w:val="superscript"/>
              </w:rPr>
              <w:t>2</w:t>
            </w:r>
            <w:r>
              <w:t>·a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8" w:hRule="atLeast"/>
          <w:jc w:val="center"/>
        </w:trPr>
        <w:tc>
          <w:tcPr>
            <w:tcW w:w="1382" w:type="pct"/>
            <w:gridSpan w:val="4"/>
            <w:noWrap w:val="0"/>
            <w:vAlign w:val="center"/>
          </w:tcPr>
          <w:p>
            <w:pPr>
              <w:pStyle w:val="17"/>
              <w:bidi w:val="0"/>
            </w:pPr>
            <w:r>
              <w:t>水土保持投资</w:t>
            </w:r>
          </w:p>
        </w:tc>
        <w:tc>
          <w:tcPr>
            <w:tcW w:w="1513" w:type="pct"/>
            <w:gridSpan w:val="5"/>
            <w:noWrap w:val="0"/>
            <w:vAlign w:val="center"/>
          </w:tcPr>
          <w:p>
            <w:pPr>
              <w:pStyle w:val="17"/>
              <w:bidi w:val="0"/>
            </w:pPr>
            <w:r>
              <w:rPr>
                <w:rFonts w:hint="eastAsia"/>
                <w:highlight w:val="none"/>
                <w:lang w:val="en-US" w:eastAsia="zh-CN"/>
              </w:rPr>
              <w:t>1060.08</w:t>
            </w:r>
            <w:r>
              <w:rPr>
                <w:highlight w:val="none"/>
              </w:rPr>
              <w:t>万元</w:t>
            </w:r>
          </w:p>
        </w:tc>
        <w:tc>
          <w:tcPr>
            <w:tcW w:w="837" w:type="pct"/>
            <w:gridSpan w:val="3"/>
            <w:noWrap w:val="0"/>
            <w:vAlign w:val="center"/>
          </w:tcPr>
          <w:p>
            <w:pPr>
              <w:pStyle w:val="17"/>
              <w:bidi w:val="0"/>
            </w:pPr>
            <w:r>
              <w:t>水土流失目标值</w:t>
            </w:r>
          </w:p>
        </w:tc>
        <w:tc>
          <w:tcPr>
            <w:tcW w:w="1267" w:type="pct"/>
            <w:gridSpan w:val="3"/>
            <w:noWrap w:val="0"/>
            <w:vAlign w:val="center"/>
          </w:tcPr>
          <w:p>
            <w:pPr>
              <w:pStyle w:val="17"/>
              <w:bidi w:val="0"/>
            </w:pPr>
            <w:r>
              <w:t>500t/km</w:t>
            </w:r>
            <w:r>
              <w:rPr>
                <w:szCs w:val="22"/>
                <w:vertAlign w:val="superscript"/>
              </w:rPr>
              <w:t>2</w:t>
            </w:r>
            <w:r>
              <w:t>·a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32" w:hRule="atLeast"/>
          <w:jc w:val="center"/>
        </w:trPr>
        <w:tc>
          <w:tcPr>
            <w:tcW w:w="852" w:type="pct"/>
            <w:gridSpan w:val="3"/>
            <w:noWrap w:val="0"/>
            <w:vAlign w:val="center"/>
          </w:tcPr>
          <w:p>
            <w:pPr>
              <w:pStyle w:val="17"/>
              <w:bidi w:val="0"/>
            </w:pPr>
            <w:r>
              <w:t>水土保持措施</w:t>
            </w:r>
          </w:p>
          <w:p>
            <w:pPr>
              <w:pStyle w:val="17"/>
              <w:bidi w:val="0"/>
            </w:pPr>
            <w:r>
              <w:t>实施情况</w:t>
            </w:r>
          </w:p>
        </w:tc>
        <w:tc>
          <w:tcPr>
            <w:tcW w:w="4147" w:type="pct"/>
            <w:gridSpan w:val="12"/>
            <w:noWrap w:val="0"/>
            <w:vAlign w:val="center"/>
          </w:tcPr>
          <w:p>
            <w:pPr>
              <w:pStyle w:val="17"/>
              <w:bidi w:val="0"/>
              <w:rPr>
                <w:rFonts w:hint="eastAsia"/>
                <w:sz w:val="21"/>
                <w:szCs w:val="21"/>
                <w:highlight w:val="none"/>
              </w:rPr>
            </w:pPr>
            <w:r>
              <w:rPr>
                <w:sz w:val="21"/>
                <w:szCs w:val="21"/>
                <w:highlight w:val="none"/>
              </w:rPr>
              <w:t>工程措施：</w:t>
            </w:r>
            <w:r>
              <w:rPr>
                <w:rFonts w:hint="default" w:ascii="Times New Roman" w:hAnsi="Times New Roman" w:eastAsia="仿宋" w:cs="Times New Roman"/>
                <w:sz w:val="21"/>
                <w:szCs w:val="21"/>
              </w:rPr>
              <w:t>表土剥离1.73万m</w:t>
            </w:r>
            <w:r>
              <w:rPr>
                <w:rFonts w:hint="default" w:ascii="Times New Roman" w:hAnsi="Times New Roman" w:eastAsia="仿宋" w:cs="Times New Roman"/>
                <w:sz w:val="21"/>
                <w:szCs w:val="21"/>
                <w:vertAlign w:val="superscript"/>
              </w:rPr>
              <w:t>3</w:t>
            </w:r>
            <w:r>
              <w:rPr>
                <w:rFonts w:hint="default" w:ascii="Times New Roman" w:hAnsi="Times New Roman" w:eastAsia="仿宋" w:cs="Times New Roman"/>
                <w:sz w:val="21"/>
                <w:szCs w:val="21"/>
                <w:vertAlign w:val="baseline"/>
                <w:lang w:eastAsia="zh-CN"/>
              </w:rPr>
              <w:t>，</w:t>
            </w:r>
            <w:r>
              <w:rPr>
                <w:rFonts w:hint="default" w:ascii="Times New Roman" w:hAnsi="Times New Roman" w:eastAsia="仿宋" w:cs="Times New Roman"/>
                <w:sz w:val="21"/>
                <w:szCs w:val="21"/>
              </w:rPr>
              <w:t>表土</w:t>
            </w:r>
            <w:r>
              <w:rPr>
                <w:rFonts w:hint="default" w:ascii="Times New Roman" w:hAnsi="Times New Roman" w:eastAsia="仿宋" w:cs="Times New Roman"/>
                <w:sz w:val="21"/>
                <w:szCs w:val="21"/>
                <w:lang w:val="en-US" w:eastAsia="zh-CN"/>
              </w:rPr>
              <w:t>回填</w:t>
            </w:r>
            <w:r>
              <w:rPr>
                <w:rFonts w:hint="default" w:ascii="Times New Roman" w:hAnsi="Times New Roman" w:eastAsia="仿宋" w:cs="Times New Roman"/>
                <w:sz w:val="21"/>
                <w:szCs w:val="21"/>
              </w:rPr>
              <w:t>1.73万m</w:t>
            </w:r>
            <w:r>
              <w:rPr>
                <w:rFonts w:hint="default" w:ascii="Times New Roman" w:hAnsi="Times New Roman" w:eastAsia="仿宋" w:cs="Times New Roman"/>
                <w:sz w:val="21"/>
                <w:szCs w:val="21"/>
                <w:vertAlign w:val="superscript"/>
              </w:rPr>
              <w:t>3</w:t>
            </w:r>
            <w:r>
              <w:rPr>
                <w:rFonts w:hint="default" w:ascii="Times New Roman" w:hAnsi="Times New Roman" w:eastAsia="仿宋" w:cs="Times New Roman"/>
                <w:sz w:val="21"/>
                <w:szCs w:val="21"/>
                <w:vertAlign w:val="baseline"/>
                <w:lang w:eastAsia="zh-CN"/>
              </w:rPr>
              <w:t>，</w:t>
            </w:r>
            <w:r>
              <w:rPr>
                <w:rFonts w:hint="default" w:ascii="Times New Roman" w:hAnsi="Times New Roman" w:eastAsia="仿宋" w:cs="Times New Roman"/>
                <w:sz w:val="21"/>
                <w:szCs w:val="21"/>
                <w:vertAlign w:val="baseline"/>
                <w:lang w:val="en-US" w:eastAsia="zh-CN"/>
              </w:rPr>
              <w:t>基坑排水工程1600m，</w:t>
            </w:r>
            <w:r>
              <w:rPr>
                <w:rFonts w:hint="default" w:ascii="Times New Roman" w:hAnsi="Times New Roman" w:eastAsia="仿宋" w:cs="Times New Roman"/>
                <w:bCs/>
                <w:kern w:val="0"/>
                <w:sz w:val="21"/>
                <w:szCs w:val="21"/>
                <w:lang w:val="en-US" w:eastAsia="zh-CN"/>
              </w:rPr>
              <w:t>洗车池1</w:t>
            </w:r>
            <w:r>
              <w:rPr>
                <w:rFonts w:hint="default" w:ascii="Times New Roman" w:hAnsi="Times New Roman" w:eastAsia="仿宋" w:cs="Times New Roman"/>
                <w:bCs/>
                <w:kern w:val="0"/>
                <w:sz w:val="21"/>
                <w:szCs w:val="21"/>
              </w:rPr>
              <w:t>座，</w:t>
            </w:r>
            <w:r>
              <w:rPr>
                <w:rFonts w:hint="default" w:ascii="Times New Roman" w:hAnsi="Times New Roman" w:eastAsia="仿宋" w:cs="Times New Roman"/>
                <w:sz w:val="21"/>
                <w:szCs w:val="21"/>
                <w:vertAlign w:val="baseline"/>
                <w:lang w:val="en-US" w:eastAsia="zh-CN"/>
              </w:rPr>
              <w:t>雨水管网</w:t>
            </w:r>
            <w:r>
              <w:rPr>
                <w:rFonts w:hint="eastAsia" w:ascii="Times New Roman" w:hAnsi="Times New Roman" w:eastAsia="仿宋" w:cs="Times New Roman"/>
                <w:sz w:val="21"/>
                <w:szCs w:val="21"/>
                <w:vertAlign w:val="baseline"/>
                <w:lang w:val="en-US" w:eastAsia="zh-CN"/>
              </w:rPr>
              <w:t>252</w:t>
            </w:r>
            <w:r>
              <w:rPr>
                <w:rFonts w:hint="default" w:ascii="Times New Roman" w:hAnsi="Times New Roman" w:eastAsia="仿宋" w:cs="Times New Roman"/>
                <w:sz w:val="21"/>
                <w:szCs w:val="21"/>
                <w:vertAlign w:val="baseline"/>
                <w:lang w:val="en-US" w:eastAsia="zh-CN"/>
              </w:rPr>
              <w:t>0m</w:t>
            </w:r>
            <w:r>
              <w:rPr>
                <w:rFonts w:hint="default" w:ascii="Times New Roman" w:hAnsi="Times New Roman" w:eastAsia="仿宋" w:cs="Times New Roman"/>
                <w:sz w:val="21"/>
                <w:szCs w:val="21"/>
                <w:vertAlign w:val="baseline"/>
                <w:lang w:eastAsia="zh-CN"/>
              </w:rPr>
              <w:t>。</w:t>
            </w:r>
          </w:p>
          <w:p>
            <w:pPr>
              <w:pStyle w:val="17"/>
              <w:bidi w:val="0"/>
              <w:rPr>
                <w:rFonts w:hint="eastAsia"/>
                <w:sz w:val="21"/>
                <w:szCs w:val="21"/>
                <w:highlight w:val="none"/>
              </w:rPr>
            </w:pPr>
            <w:r>
              <w:rPr>
                <w:sz w:val="21"/>
                <w:szCs w:val="21"/>
                <w:highlight w:val="none"/>
              </w:rPr>
              <w:t>植物措施：</w:t>
            </w:r>
            <w:r>
              <w:rPr>
                <w:rFonts w:hint="default" w:ascii="Times New Roman" w:hAnsi="Times New Roman" w:eastAsia="仿宋" w:cs="Times New Roman"/>
                <w:sz w:val="21"/>
                <w:szCs w:val="21"/>
              </w:rPr>
              <w:t>全面整地面积</w:t>
            </w:r>
            <w:r>
              <w:rPr>
                <w:rFonts w:hint="eastAsia" w:ascii="Times New Roman" w:hAnsi="Times New Roman" w:eastAsia="仿宋" w:cs="Times New Roman"/>
                <w:sz w:val="21"/>
                <w:szCs w:val="21"/>
                <w:lang w:val="en-US" w:eastAsia="zh-CN"/>
              </w:rPr>
              <w:t>5.76</w:t>
            </w:r>
            <w:r>
              <w:rPr>
                <w:rFonts w:hint="default" w:ascii="Times New Roman" w:hAnsi="Times New Roman" w:eastAsia="仿宋" w:cs="Times New Roman"/>
                <w:sz w:val="21"/>
                <w:szCs w:val="21"/>
              </w:rPr>
              <w:t>hm</w:t>
            </w:r>
            <w:r>
              <w:rPr>
                <w:rFonts w:hint="default" w:ascii="Times New Roman" w:hAnsi="Times New Roman" w:eastAsia="仿宋" w:cs="Times New Roman"/>
                <w:sz w:val="21"/>
                <w:szCs w:val="21"/>
                <w:vertAlign w:val="superscript"/>
              </w:rPr>
              <w:t>2</w:t>
            </w:r>
            <w:r>
              <w:rPr>
                <w:rFonts w:hint="eastAsia" w:ascii="Times New Roman" w:hAnsi="Times New Roman" w:eastAsia="仿宋" w:cs="Times New Roman"/>
                <w:sz w:val="21"/>
                <w:szCs w:val="21"/>
                <w:vertAlign w:val="baseline"/>
                <w:lang w:eastAsia="zh-CN"/>
              </w:rPr>
              <w:t>，</w:t>
            </w:r>
            <w:r>
              <w:rPr>
                <w:rFonts w:hint="default" w:ascii="Times New Roman" w:hAnsi="Times New Roman" w:eastAsia="仿宋" w:cs="Times New Roman"/>
                <w:sz w:val="21"/>
                <w:szCs w:val="21"/>
              </w:rPr>
              <w:t>园林绿化面积3.22hm</w:t>
            </w:r>
            <w:r>
              <w:rPr>
                <w:rFonts w:hint="default" w:ascii="Times New Roman" w:hAnsi="Times New Roman" w:eastAsia="仿宋" w:cs="Times New Roman"/>
                <w:sz w:val="21"/>
                <w:szCs w:val="21"/>
                <w:vertAlign w:val="superscript"/>
              </w:rPr>
              <w:t>2</w:t>
            </w:r>
            <w:r>
              <w:rPr>
                <w:rFonts w:hint="eastAsia" w:ascii="Times New Roman" w:hAnsi="Times New Roman" w:eastAsia="仿宋" w:cs="Times New Roman"/>
                <w:sz w:val="21"/>
                <w:szCs w:val="21"/>
                <w:vertAlign w:val="baseline"/>
                <w:lang w:eastAsia="zh-CN"/>
              </w:rPr>
              <w:t>，</w:t>
            </w:r>
            <w:r>
              <w:rPr>
                <w:rFonts w:hint="default" w:ascii="Times New Roman" w:hAnsi="Times New Roman" w:eastAsia="仿宋" w:cs="Times New Roman"/>
                <w:sz w:val="21"/>
                <w:szCs w:val="21"/>
              </w:rPr>
              <w:t>撒播草籽面积2.54hm</w:t>
            </w:r>
            <w:r>
              <w:rPr>
                <w:rFonts w:hint="default" w:ascii="Times New Roman" w:hAnsi="Times New Roman" w:eastAsia="仿宋" w:cs="Times New Roman"/>
                <w:sz w:val="21"/>
                <w:szCs w:val="21"/>
                <w:vertAlign w:val="superscript"/>
              </w:rPr>
              <w:t>2</w:t>
            </w:r>
            <w:r>
              <w:rPr>
                <w:rFonts w:hint="eastAsia" w:ascii="Times New Roman" w:hAnsi="Times New Roman" w:eastAsia="仿宋" w:cs="Times New Roman"/>
                <w:sz w:val="21"/>
                <w:szCs w:val="21"/>
                <w:vertAlign w:val="baseline"/>
                <w:lang w:eastAsia="zh-CN"/>
              </w:rPr>
              <w:t>，</w:t>
            </w:r>
            <w:r>
              <w:rPr>
                <w:rFonts w:hint="eastAsia" w:ascii="Times New Roman" w:hAnsi="Times New Roman" w:eastAsia="仿宋" w:cs="Times New Roman"/>
                <w:sz w:val="21"/>
                <w:szCs w:val="21"/>
                <w:vertAlign w:val="baseline"/>
                <w:lang w:val="en-US" w:eastAsia="zh-CN"/>
              </w:rPr>
              <w:t>浆砌片石护坡0.32</w:t>
            </w:r>
            <w:r>
              <w:rPr>
                <w:rFonts w:hint="default" w:ascii="Times New Roman" w:hAnsi="Times New Roman" w:eastAsia="仿宋" w:cs="Times New Roman"/>
                <w:sz w:val="21"/>
                <w:szCs w:val="21"/>
              </w:rPr>
              <w:t>hm</w:t>
            </w:r>
            <w:r>
              <w:rPr>
                <w:rFonts w:hint="default" w:ascii="Times New Roman" w:hAnsi="Times New Roman" w:eastAsia="仿宋" w:cs="Times New Roman"/>
                <w:sz w:val="21"/>
                <w:szCs w:val="21"/>
                <w:vertAlign w:val="superscript"/>
              </w:rPr>
              <w:t>2</w:t>
            </w:r>
            <w:r>
              <w:rPr>
                <w:rFonts w:hint="eastAsia"/>
                <w:sz w:val="21"/>
                <w:szCs w:val="21"/>
                <w:highlight w:val="none"/>
              </w:rPr>
              <w:t>。</w:t>
            </w:r>
          </w:p>
          <w:p>
            <w:pPr>
              <w:pStyle w:val="17"/>
              <w:bidi w:val="0"/>
            </w:pPr>
            <w:r>
              <w:rPr>
                <w:sz w:val="21"/>
                <w:szCs w:val="21"/>
                <w:highlight w:val="none"/>
              </w:rPr>
              <w:t>临时措施：</w:t>
            </w:r>
            <w:r>
              <w:rPr>
                <w:rFonts w:hint="default" w:ascii="Times New Roman" w:hAnsi="Times New Roman" w:eastAsia="仿宋" w:cs="Times New Roman"/>
                <w:bCs/>
                <w:kern w:val="0"/>
                <w:sz w:val="21"/>
                <w:szCs w:val="21"/>
              </w:rPr>
              <w:t>沉砂池</w:t>
            </w:r>
            <w:r>
              <w:rPr>
                <w:rFonts w:hint="default" w:ascii="Times New Roman" w:hAnsi="Times New Roman" w:eastAsia="仿宋" w:cs="Times New Roman"/>
                <w:bCs/>
                <w:kern w:val="0"/>
                <w:sz w:val="21"/>
                <w:szCs w:val="21"/>
                <w:lang w:val="en-US" w:eastAsia="zh-CN"/>
              </w:rPr>
              <w:t>4</w:t>
            </w:r>
            <w:r>
              <w:rPr>
                <w:rFonts w:hint="default" w:ascii="Times New Roman" w:hAnsi="Times New Roman" w:eastAsia="仿宋" w:cs="Times New Roman"/>
                <w:bCs/>
                <w:kern w:val="0"/>
                <w:sz w:val="21"/>
                <w:szCs w:val="21"/>
              </w:rPr>
              <w:t>座，临时排水沟</w:t>
            </w:r>
            <w:r>
              <w:rPr>
                <w:rFonts w:hint="default" w:ascii="Times New Roman" w:hAnsi="Times New Roman" w:eastAsia="仿宋" w:cs="Times New Roman"/>
                <w:bCs/>
                <w:kern w:val="0"/>
                <w:sz w:val="21"/>
                <w:szCs w:val="21"/>
                <w:lang w:val="en-US" w:eastAsia="zh-CN"/>
              </w:rPr>
              <w:t>1890</w:t>
            </w:r>
            <w:r>
              <w:rPr>
                <w:rFonts w:hint="default" w:ascii="Times New Roman" w:hAnsi="Times New Roman" w:eastAsia="仿宋" w:cs="Times New Roman"/>
                <w:bCs/>
                <w:kern w:val="0"/>
                <w:sz w:val="21"/>
                <w:szCs w:val="21"/>
              </w:rPr>
              <w:t>m，</w:t>
            </w:r>
            <w:r>
              <w:rPr>
                <w:rFonts w:hint="default" w:ascii="Times New Roman" w:hAnsi="Times New Roman" w:eastAsia="仿宋" w:cs="Times New Roman"/>
                <w:bCs/>
                <w:kern w:val="0"/>
                <w:sz w:val="21"/>
                <w:szCs w:val="21"/>
                <w:lang w:val="en-US" w:eastAsia="zh-CN"/>
              </w:rPr>
              <w:t>彩条布</w:t>
            </w:r>
            <w:r>
              <w:rPr>
                <w:rFonts w:hint="eastAsia" w:ascii="Times New Roman" w:hAnsi="Times New Roman" w:eastAsia="仿宋" w:cs="Times New Roman"/>
                <w:bCs/>
                <w:kern w:val="0"/>
                <w:sz w:val="21"/>
                <w:szCs w:val="21"/>
                <w:lang w:val="en-US" w:eastAsia="zh-CN"/>
              </w:rPr>
              <w:t>6400</w:t>
            </w:r>
            <w:r>
              <w:rPr>
                <w:rFonts w:hint="default" w:ascii="Times New Roman" w:hAnsi="Times New Roman" w:eastAsia="仿宋" w:cs="Times New Roman"/>
                <w:bCs/>
                <w:kern w:val="0"/>
                <w:sz w:val="21"/>
                <w:szCs w:val="21"/>
              </w:rPr>
              <w:t>m²，</w:t>
            </w:r>
            <w:r>
              <w:rPr>
                <w:rFonts w:hint="default" w:ascii="Times New Roman" w:hAnsi="Times New Roman" w:eastAsia="仿宋" w:cs="Times New Roman"/>
                <w:bCs/>
                <w:kern w:val="0"/>
                <w:sz w:val="21"/>
                <w:szCs w:val="21"/>
                <w:lang w:val="en-US" w:eastAsia="zh-CN"/>
              </w:rPr>
              <w:t>土袋拦挡1020</w:t>
            </w:r>
            <w:r>
              <w:rPr>
                <w:rFonts w:hint="default" w:ascii="Times New Roman" w:hAnsi="Times New Roman" w:eastAsia="仿宋" w:cs="Times New Roman"/>
                <w:bCs/>
                <w:kern w:val="0"/>
                <w:sz w:val="21"/>
                <w:szCs w:val="21"/>
              </w:rPr>
              <w:t>m</w:t>
            </w:r>
            <w:r>
              <w:rPr>
                <w:rFonts w:hint="eastAsia"/>
                <w:sz w:val="21"/>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 w:hRule="atLeast"/>
          <w:jc w:val="center"/>
        </w:trPr>
        <w:tc>
          <w:tcPr>
            <w:tcW w:w="252" w:type="pct"/>
            <w:vMerge w:val="restart"/>
            <w:noWrap w:val="0"/>
            <w:vAlign w:val="center"/>
          </w:tcPr>
          <w:p>
            <w:pPr>
              <w:pStyle w:val="17"/>
              <w:bidi w:val="0"/>
            </w:pPr>
            <w:r>
              <w:t>监测结论</w:t>
            </w:r>
          </w:p>
        </w:tc>
        <w:tc>
          <w:tcPr>
            <w:tcW w:w="233" w:type="pct"/>
            <w:vMerge w:val="restart"/>
            <w:noWrap w:val="0"/>
            <w:vAlign w:val="center"/>
          </w:tcPr>
          <w:p>
            <w:pPr>
              <w:pStyle w:val="17"/>
              <w:bidi w:val="0"/>
            </w:pPr>
            <w:r>
              <w:t>防治效果</w:t>
            </w:r>
          </w:p>
        </w:tc>
        <w:tc>
          <w:tcPr>
            <w:tcW w:w="895" w:type="pct"/>
            <w:gridSpan w:val="2"/>
            <w:noWrap w:val="0"/>
            <w:vAlign w:val="center"/>
          </w:tcPr>
          <w:p>
            <w:pPr>
              <w:pStyle w:val="17"/>
              <w:bidi w:val="0"/>
            </w:pPr>
            <w:r>
              <w:t>分类指标</w:t>
            </w:r>
          </w:p>
        </w:tc>
        <w:tc>
          <w:tcPr>
            <w:tcW w:w="376" w:type="pct"/>
            <w:noWrap w:val="0"/>
            <w:vAlign w:val="center"/>
          </w:tcPr>
          <w:p>
            <w:pPr>
              <w:pStyle w:val="17"/>
              <w:bidi w:val="0"/>
            </w:pPr>
            <w:r>
              <w:t>目标值</w:t>
            </w:r>
          </w:p>
        </w:tc>
        <w:tc>
          <w:tcPr>
            <w:tcW w:w="414" w:type="pct"/>
            <w:gridSpan w:val="2"/>
            <w:noWrap w:val="0"/>
            <w:vAlign w:val="center"/>
          </w:tcPr>
          <w:p>
            <w:pPr>
              <w:pStyle w:val="17"/>
              <w:bidi w:val="0"/>
            </w:pPr>
            <w:r>
              <w:t>达到值</w:t>
            </w:r>
          </w:p>
        </w:tc>
        <w:tc>
          <w:tcPr>
            <w:tcW w:w="2827" w:type="pct"/>
            <w:gridSpan w:val="8"/>
            <w:noWrap w:val="0"/>
            <w:vAlign w:val="center"/>
          </w:tcPr>
          <w:p>
            <w:pPr>
              <w:pStyle w:val="17"/>
              <w:bidi w:val="0"/>
            </w:pPr>
            <w:r>
              <w:t>实际监测数量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2" w:hRule="atLeast"/>
          <w:jc w:val="center"/>
        </w:trPr>
        <w:tc>
          <w:tcPr>
            <w:tcW w:w="252" w:type="pct"/>
            <w:vMerge w:val="continue"/>
            <w:noWrap w:val="0"/>
            <w:vAlign w:val="center"/>
          </w:tcPr>
          <w:p>
            <w:pPr>
              <w:pStyle w:val="17"/>
              <w:bidi w:val="0"/>
            </w:pPr>
          </w:p>
        </w:tc>
        <w:tc>
          <w:tcPr>
            <w:tcW w:w="233" w:type="pct"/>
            <w:vMerge w:val="continue"/>
            <w:noWrap w:val="0"/>
            <w:vAlign w:val="center"/>
          </w:tcPr>
          <w:p>
            <w:pPr>
              <w:pStyle w:val="17"/>
              <w:bidi w:val="0"/>
            </w:pPr>
          </w:p>
        </w:tc>
        <w:tc>
          <w:tcPr>
            <w:tcW w:w="895" w:type="pct"/>
            <w:gridSpan w:val="2"/>
            <w:noWrap w:val="0"/>
            <w:vAlign w:val="center"/>
          </w:tcPr>
          <w:p>
            <w:pPr>
              <w:pStyle w:val="17"/>
              <w:bidi w:val="0"/>
              <w:rPr>
                <w:rFonts w:hint="eastAsia" w:eastAsia="仿宋_GB2312"/>
                <w:lang w:eastAsia="zh-CN"/>
              </w:rPr>
            </w:pPr>
            <w:r>
              <w:t>扰动土地整治率</w:t>
            </w:r>
            <w:r>
              <w:rPr>
                <w:rFonts w:hint="eastAsia"/>
                <w:lang w:eastAsia="zh-CN"/>
              </w:rPr>
              <w:t>（</w:t>
            </w:r>
            <w:r>
              <w:rPr>
                <w:rFonts w:hint="eastAsia"/>
                <w:lang w:val="en-US" w:eastAsia="zh-CN"/>
              </w:rPr>
              <w:t>%</w:t>
            </w:r>
            <w:r>
              <w:rPr>
                <w:rFonts w:hint="eastAsia"/>
                <w:lang w:eastAsia="zh-CN"/>
              </w:rPr>
              <w:t>）</w:t>
            </w:r>
          </w:p>
        </w:tc>
        <w:tc>
          <w:tcPr>
            <w:tcW w:w="376" w:type="pct"/>
            <w:noWrap w:val="0"/>
            <w:vAlign w:val="center"/>
          </w:tcPr>
          <w:p>
            <w:pPr>
              <w:widowControl/>
              <w:spacing w:line="240" w:lineRule="auto"/>
              <w:ind w:firstLine="0" w:firstLineChars="0"/>
              <w:jc w:val="center"/>
              <w:rPr>
                <w:rFonts w:hint="default" w:eastAsia="仿宋_GB2312"/>
                <w:lang w:val="en-US" w:eastAsia="zh-CN"/>
              </w:rPr>
            </w:pPr>
            <w:r>
              <w:rPr>
                <w:rFonts w:hint="eastAsia"/>
                <w:kern w:val="0"/>
                <w:sz w:val="21"/>
                <w:szCs w:val="21"/>
                <w:lang w:val="en-US" w:eastAsia="zh-CN"/>
              </w:rPr>
              <w:t>90</w:t>
            </w:r>
          </w:p>
        </w:tc>
        <w:tc>
          <w:tcPr>
            <w:tcW w:w="414" w:type="pct"/>
            <w:gridSpan w:val="2"/>
            <w:noWrap w:val="0"/>
            <w:vAlign w:val="center"/>
          </w:tcPr>
          <w:p>
            <w:pPr>
              <w:pStyle w:val="17"/>
              <w:bidi w:val="0"/>
              <w:ind w:firstLine="0" w:firstLineChars="0"/>
              <w:rPr>
                <w:rFonts w:hint="default" w:eastAsia="仿宋_GB2312"/>
                <w:lang w:val="en-US" w:eastAsia="zh-CN"/>
              </w:rPr>
            </w:pPr>
            <w:r>
              <w:rPr>
                <w:rFonts w:hint="eastAsia"/>
                <w:highlight w:val="none"/>
                <w:lang w:val="en-US" w:eastAsia="zh-CN"/>
              </w:rPr>
              <w:t>99.7</w:t>
            </w:r>
          </w:p>
        </w:tc>
        <w:tc>
          <w:tcPr>
            <w:tcW w:w="491" w:type="pct"/>
            <w:noWrap w:val="0"/>
            <w:vAlign w:val="center"/>
          </w:tcPr>
          <w:p>
            <w:pPr>
              <w:pStyle w:val="17"/>
              <w:bidi w:val="0"/>
            </w:pPr>
            <w:r>
              <w:t>防治措施面积hm</w:t>
            </w:r>
            <w:r>
              <w:rPr>
                <w:szCs w:val="22"/>
                <w:vertAlign w:val="superscript"/>
              </w:rPr>
              <w:t>2</w:t>
            </w:r>
          </w:p>
        </w:tc>
        <w:tc>
          <w:tcPr>
            <w:tcW w:w="536" w:type="pct"/>
            <w:gridSpan w:val="2"/>
            <w:noWrap w:val="0"/>
            <w:vAlign w:val="center"/>
          </w:tcPr>
          <w:p>
            <w:pPr>
              <w:pStyle w:val="17"/>
              <w:bidi w:val="0"/>
              <w:rPr>
                <w:rFonts w:hint="default" w:eastAsia="仿宋_GB2312"/>
                <w:lang w:val="en-US" w:eastAsia="zh-CN"/>
              </w:rPr>
            </w:pPr>
            <w:r>
              <w:rPr>
                <w:rFonts w:hint="eastAsia"/>
                <w:lang w:val="en-US" w:eastAsia="zh-CN"/>
              </w:rPr>
              <w:t>5.76</w:t>
            </w:r>
          </w:p>
        </w:tc>
        <w:tc>
          <w:tcPr>
            <w:tcW w:w="400" w:type="pct"/>
            <w:noWrap w:val="0"/>
            <w:vAlign w:val="center"/>
          </w:tcPr>
          <w:p>
            <w:pPr>
              <w:pStyle w:val="17"/>
              <w:bidi w:val="0"/>
            </w:pPr>
            <w:r>
              <w:t>永久建筑物及硬化面积hm</w:t>
            </w:r>
            <w:r>
              <w:rPr>
                <w:szCs w:val="22"/>
                <w:vertAlign w:val="superscript"/>
              </w:rPr>
              <w:t>2</w:t>
            </w:r>
          </w:p>
        </w:tc>
        <w:tc>
          <w:tcPr>
            <w:tcW w:w="431" w:type="pct"/>
            <w:gridSpan w:val="2"/>
            <w:noWrap w:val="0"/>
            <w:vAlign w:val="center"/>
          </w:tcPr>
          <w:p>
            <w:pPr>
              <w:pStyle w:val="17"/>
              <w:bidi w:val="0"/>
              <w:rPr>
                <w:rFonts w:hint="default" w:eastAsia="仿宋_GB2312"/>
                <w:lang w:val="en-US" w:eastAsia="zh-CN"/>
              </w:rPr>
            </w:pPr>
            <w:r>
              <w:rPr>
                <w:rFonts w:hint="eastAsia"/>
                <w:lang w:val="en-US" w:eastAsia="zh-CN"/>
              </w:rPr>
              <w:t>4.27</w:t>
            </w:r>
          </w:p>
        </w:tc>
        <w:tc>
          <w:tcPr>
            <w:tcW w:w="566" w:type="pct"/>
            <w:noWrap w:val="0"/>
            <w:vAlign w:val="center"/>
          </w:tcPr>
          <w:p>
            <w:pPr>
              <w:pStyle w:val="17"/>
              <w:bidi w:val="0"/>
            </w:pPr>
            <w:r>
              <w:t>扰动土地总面积hm</w:t>
            </w:r>
            <w:r>
              <w:rPr>
                <w:szCs w:val="22"/>
                <w:vertAlign w:val="superscript"/>
              </w:rPr>
              <w:t>2</w:t>
            </w:r>
          </w:p>
        </w:tc>
        <w:tc>
          <w:tcPr>
            <w:tcW w:w="403" w:type="pct"/>
            <w:noWrap w:val="0"/>
            <w:vAlign w:val="center"/>
          </w:tcPr>
          <w:p>
            <w:pPr>
              <w:pStyle w:val="17"/>
              <w:bidi w:val="0"/>
              <w:rPr>
                <w:rFonts w:hint="default" w:eastAsia="仿宋_GB2312"/>
                <w:lang w:val="en-US" w:eastAsia="zh-CN"/>
              </w:rPr>
            </w:pPr>
            <w:r>
              <w:rPr>
                <w:rFonts w:hint="eastAsia"/>
                <w:lang w:val="en-US" w:eastAsia="zh-CN"/>
              </w:rPr>
              <w:t>10.03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8" w:hRule="atLeast"/>
          <w:jc w:val="center"/>
        </w:trPr>
        <w:tc>
          <w:tcPr>
            <w:tcW w:w="252" w:type="pct"/>
            <w:vMerge w:val="continue"/>
            <w:noWrap w:val="0"/>
            <w:vAlign w:val="center"/>
          </w:tcPr>
          <w:p>
            <w:pPr>
              <w:pStyle w:val="17"/>
              <w:bidi w:val="0"/>
            </w:pPr>
          </w:p>
        </w:tc>
        <w:tc>
          <w:tcPr>
            <w:tcW w:w="233" w:type="pct"/>
            <w:vMerge w:val="continue"/>
            <w:noWrap w:val="0"/>
            <w:vAlign w:val="center"/>
          </w:tcPr>
          <w:p>
            <w:pPr>
              <w:pStyle w:val="17"/>
              <w:bidi w:val="0"/>
            </w:pPr>
          </w:p>
        </w:tc>
        <w:tc>
          <w:tcPr>
            <w:tcW w:w="895" w:type="pct"/>
            <w:gridSpan w:val="2"/>
            <w:noWrap w:val="0"/>
            <w:vAlign w:val="center"/>
          </w:tcPr>
          <w:p>
            <w:pPr>
              <w:pStyle w:val="17"/>
              <w:bidi w:val="0"/>
            </w:pPr>
            <w:r>
              <w:t>水土流失总治理度</w:t>
            </w:r>
            <w:r>
              <w:rPr>
                <w:rFonts w:hint="eastAsia"/>
                <w:lang w:eastAsia="zh-CN"/>
              </w:rPr>
              <w:t>（</w:t>
            </w:r>
            <w:r>
              <w:rPr>
                <w:rFonts w:hint="eastAsia"/>
                <w:lang w:val="en-US" w:eastAsia="zh-CN"/>
              </w:rPr>
              <w:t>%</w:t>
            </w:r>
            <w:r>
              <w:rPr>
                <w:rFonts w:hint="eastAsia"/>
                <w:lang w:eastAsia="zh-CN"/>
              </w:rPr>
              <w:t>）</w:t>
            </w:r>
          </w:p>
        </w:tc>
        <w:tc>
          <w:tcPr>
            <w:tcW w:w="376" w:type="pct"/>
            <w:noWrap w:val="0"/>
            <w:vAlign w:val="center"/>
          </w:tcPr>
          <w:p>
            <w:pPr>
              <w:widowControl/>
              <w:spacing w:line="240" w:lineRule="auto"/>
              <w:ind w:firstLine="0" w:firstLineChars="0"/>
              <w:jc w:val="center"/>
              <w:rPr>
                <w:rFonts w:hint="default"/>
                <w:lang w:val="en-US"/>
              </w:rPr>
            </w:pPr>
            <w:r>
              <w:rPr>
                <w:rFonts w:hint="eastAsia"/>
                <w:kern w:val="0"/>
                <w:sz w:val="21"/>
                <w:szCs w:val="21"/>
                <w:lang w:val="en-US" w:eastAsia="zh-CN"/>
              </w:rPr>
              <w:t>82</w:t>
            </w:r>
          </w:p>
        </w:tc>
        <w:tc>
          <w:tcPr>
            <w:tcW w:w="414" w:type="pct"/>
            <w:gridSpan w:val="2"/>
            <w:noWrap w:val="0"/>
            <w:vAlign w:val="center"/>
          </w:tcPr>
          <w:p>
            <w:pPr>
              <w:pStyle w:val="17"/>
              <w:bidi w:val="0"/>
              <w:ind w:firstLine="0" w:firstLineChars="0"/>
            </w:pPr>
            <w:r>
              <w:rPr>
                <w:rFonts w:hint="eastAsia"/>
                <w:highlight w:val="none"/>
              </w:rPr>
              <w:t>100</w:t>
            </w:r>
          </w:p>
        </w:tc>
        <w:tc>
          <w:tcPr>
            <w:tcW w:w="1027" w:type="pct"/>
            <w:gridSpan w:val="3"/>
            <w:noWrap w:val="0"/>
            <w:vAlign w:val="center"/>
          </w:tcPr>
          <w:p>
            <w:pPr>
              <w:pStyle w:val="17"/>
              <w:bidi w:val="0"/>
            </w:pPr>
            <w:r>
              <w:rPr>
                <w:rFonts w:hint="eastAsia"/>
                <w:lang w:val="en-US" w:eastAsia="zh-CN"/>
              </w:rPr>
              <w:t>实际</w:t>
            </w:r>
            <w:r>
              <w:t>防治责任范围面积hm</w:t>
            </w:r>
            <w:r>
              <w:rPr>
                <w:vertAlign w:val="superscript"/>
              </w:rPr>
              <w:t>2</w:t>
            </w:r>
          </w:p>
        </w:tc>
        <w:tc>
          <w:tcPr>
            <w:tcW w:w="400" w:type="pct"/>
            <w:noWrap w:val="0"/>
            <w:vAlign w:val="center"/>
          </w:tcPr>
          <w:p>
            <w:pPr>
              <w:pStyle w:val="17"/>
              <w:bidi w:val="0"/>
              <w:rPr>
                <w:rFonts w:hint="default" w:eastAsia="仿宋_GB2312"/>
                <w:lang w:val="en-US" w:eastAsia="zh-CN"/>
              </w:rPr>
            </w:pPr>
            <w:r>
              <w:rPr>
                <w:rFonts w:hint="eastAsia"/>
                <w:lang w:val="en-US" w:eastAsia="zh-CN"/>
              </w:rPr>
              <w:t>11.55</w:t>
            </w:r>
          </w:p>
        </w:tc>
        <w:tc>
          <w:tcPr>
            <w:tcW w:w="997" w:type="pct"/>
            <w:gridSpan w:val="3"/>
            <w:noWrap w:val="0"/>
            <w:vAlign w:val="center"/>
          </w:tcPr>
          <w:p>
            <w:pPr>
              <w:pStyle w:val="17"/>
              <w:bidi w:val="0"/>
            </w:pPr>
            <w:r>
              <w:t>水土流失总面积hm</w:t>
            </w:r>
            <w:r>
              <w:rPr>
                <w:szCs w:val="22"/>
                <w:vertAlign w:val="superscript"/>
              </w:rPr>
              <w:t>2</w:t>
            </w:r>
          </w:p>
        </w:tc>
        <w:tc>
          <w:tcPr>
            <w:tcW w:w="403" w:type="pct"/>
            <w:noWrap w:val="0"/>
            <w:vAlign w:val="center"/>
          </w:tcPr>
          <w:p>
            <w:pPr>
              <w:pStyle w:val="17"/>
              <w:bidi w:val="0"/>
              <w:rPr>
                <w:rFonts w:hint="default" w:eastAsia="仿宋_GB2312"/>
                <w:lang w:val="en-US" w:eastAsia="zh-CN"/>
              </w:rPr>
            </w:pPr>
            <w:r>
              <w:rPr>
                <w:rFonts w:hint="eastAsia"/>
                <w:lang w:val="en-US" w:eastAsia="zh-CN"/>
              </w:rPr>
              <w:t>10.03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 w:hRule="atLeast"/>
          <w:jc w:val="center"/>
        </w:trPr>
        <w:tc>
          <w:tcPr>
            <w:tcW w:w="252" w:type="pct"/>
            <w:vMerge w:val="continue"/>
            <w:noWrap w:val="0"/>
            <w:vAlign w:val="center"/>
          </w:tcPr>
          <w:p>
            <w:pPr>
              <w:pStyle w:val="17"/>
              <w:bidi w:val="0"/>
            </w:pPr>
          </w:p>
        </w:tc>
        <w:tc>
          <w:tcPr>
            <w:tcW w:w="233" w:type="pct"/>
            <w:vMerge w:val="continue"/>
            <w:noWrap w:val="0"/>
            <w:vAlign w:val="center"/>
          </w:tcPr>
          <w:p>
            <w:pPr>
              <w:pStyle w:val="17"/>
              <w:bidi w:val="0"/>
            </w:pPr>
          </w:p>
        </w:tc>
        <w:tc>
          <w:tcPr>
            <w:tcW w:w="895" w:type="pct"/>
            <w:gridSpan w:val="2"/>
            <w:noWrap w:val="0"/>
            <w:vAlign w:val="center"/>
          </w:tcPr>
          <w:p>
            <w:pPr>
              <w:pStyle w:val="17"/>
              <w:bidi w:val="0"/>
            </w:pPr>
            <w:r>
              <w:t>土壤流失控制比</w:t>
            </w:r>
          </w:p>
        </w:tc>
        <w:tc>
          <w:tcPr>
            <w:tcW w:w="376" w:type="pct"/>
            <w:noWrap w:val="0"/>
            <w:vAlign w:val="center"/>
          </w:tcPr>
          <w:p>
            <w:pPr>
              <w:widowControl/>
              <w:spacing w:line="240" w:lineRule="auto"/>
              <w:ind w:firstLine="0" w:firstLineChars="0"/>
              <w:jc w:val="center"/>
            </w:pPr>
            <w:r>
              <w:rPr>
                <w:rFonts w:hint="eastAsia"/>
                <w:kern w:val="0"/>
                <w:sz w:val="21"/>
                <w:szCs w:val="21"/>
              </w:rPr>
              <w:t>1.0</w:t>
            </w:r>
          </w:p>
        </w:tc>
        <w:tc>
          <w:tcPr>
            <w:tcW w:w="414" w:type="pct"/>
            <w:gridSpan w:val="2"/>
            <w:noWrap w:val="0"/>
            <w:vAlign w:val="center"/>
          </w:tcPr>
          <w:p>
            <w:pPr>
              <w:pStyle w:val="17"/>
              <w:bidi w:val="0"/>
              <w:ind w:firstLine="0" w:firstLineChars="0"/>
            </w:pPr>
            <w:r>
              <w:rPr>
                <w:rFonts w:hint="eastAsia"/>
                <w:highlight w:val="none"/>
              </w:rPr>
              <w:t>1.0</w:t>
            </w:r>
          </w:p>
        </w:tc>
        <w:tc>
          <w:tcPr>
            <w:tcW w:w="1027" w:type="pct"/>
            <w:gridSpan w:val="3"/>
            <w:noWrap w:val="0"/>
            <w:vAlign w:val="center"/>
          </w:tcPr>
          <w:p>
            <w:pPr>
              <w:pStyle w:val="17"/>
              <w:bidi w:val="0"/>
            </w:pPr>
            <w:r>
              <w:t>工程措施面积hm</w:t>
            </w:r>
            <w:r>
              <w:rPr>
                <w:szCs w:val="22"/>
                <w:vertAlign w:val="superscript"/>
              </w:rPr>
              <w:t>2</w:t>
            </w:r>
          </w:p>
        </w:tc>
        <w:tc>
          <w:tcPr>
            <w:tcW w:w="400" w:type="pct"/>
            <w:noWrap w:val="0"/>
            <w:vAlign w:val="center"/>
          </w:tcPr>
          <w:p>
            <w:pPr>
              <w:pStyle w:val="17"/>
              <w:bidi w:val="0"/>
              <w:rPr>
                <w:rFonts w:hint="eastAsia" w:eastAsia="仿宋_GB2312"/>
                <w:lang w:eastAsia="zh-CN"/>
              </w:rPr>
            </w:pPr>
            <w:r>
              <w:rPr>
                <w:rFonts w:hint="eastAsia"/>
                <w:lang w:val="en-US" w:eastAsia="zh-CN"/>
              </w:rPr>
              <w:t>0</w:t>
            </w:r>
          </w:p>
        </w:tc>
        <w:tc>
          <w:tcPr>
            <w:tcW w:w="997" w:type="pct"/>
            <w:gridSpan w:val="3"/>
            <w:noWrap w:val="0"/>
            <w:vAlign w:val="center"/>
          </w:tcPr>
          <w:p>
            <w:pPr>
              <w:pStyle w:val="17"/>
              <w:bidi w:val="0"/>
            </w:pPr>
            <w:r>
              <w:t>容许土壤流失量t/km</w:t>
            </w:r>
            <w:r>
              <w:rPr>
                <w:szCs w:val="22"/>
                <w:vertAlign w:val="superscript"/>
              </w:rPr>
              <w:t>2</w:t>
            </w:r>
            <w:r>
              <w:t>·a</w:t>
            </w:r>
          </w:p>
        </w:tc>
        <w:tc>
          <w:tcPr>
            <w:tcW w:w="403" w:type="pct"/>
            <w:noWrap w:val="0"/>
            <w:vAlign w:val="center"/>
          </w:tcPr>
          <w:p>
            <w:pPr>
              <w:pStyle w:val="17"/>
              <w:bidi w:val="0"/>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96" w:hRule="atLeast"/>
          <w:jc w:val="center"/>
        </w:trPr>
        <w:tc>
          <w:tcPr>
            <w:tcW w:w="252" w:type="pct"/>
            <w:vMerge w:val="continue"/>
            <w:noWrap w:val="0"/>
            <w:vAlign w:val="center"/>
          </w:tcPr>
          <w:p>
            <w:pPr>
              <w:pStyle w:val="17"/>
              <w:bidi w:val="0"/>
            </w:pPr>
          </w:p>
        </w:tc>
        <w:tc>
          <w:tcPr>
            <w:tcW w:w="233" w:type="pct"/>
            <w:vMerge w:val="continue"/>
            <w:noWrap w:val="0"/>
            <w:vAlign w:val="center"/>
          </w:tcPr>
          <w:p>
            <w:pPr>
              <w:pStyle w:val="17"/>
              <w:bidi w:val="0"/>
            </w:pPr>
          </w:p>
        </w:tc>
        <w:tc>
          <w:tcPr>
            <w:tcW w:w="895" w:type="pct"/>
            <w:gridSpan w:val="2"/>
            <w:noWrap w:val="0"/>
            <w:vAlign w:val="center"/>
          </w:tcPr>
          <w:p>
            <w:pPr>
              <w:pStyle w:val="17"/>
              <w:bidi w:val="0"/>
            </w:pPr>
            <w:r>
              <w:t>拦渣率</w:t>
            </w:r>
            <w:r>
              <w:rPr>
                <w:rFonts w:hint="eastAsia"/>
                <w:lang w:eastAsia="zh-CN"/>
              </w:rPr>
              <w:t>（</w:t>
            </w:r>
            <w:r>
              <w:rPr>
                <w:rFonts w:hint="eastAsia"/>
                <w:lang w:val="en-US" w:eastAsia="zh-CN"/>
              </w:rPr>
              <w:t>%</w:t>
            </w:r>
            <w:r>
              <w:rPr>
                <w:rFonts w:hint="eastAsia"/>
                <w:lang w:eastAsia="zh-CN"/>
              </w:rPr>
              <w:t>）</w:t>
            </w:r>
          </w:p>
        </w:tc>
        <w:tc>
          <w:tcPr>
            <w:tcW w:w="376" w:type="pct"/>
            <w:noWrap w:val="0"/>
            <w:vAlign w:val="center"/>
          </w:tcPr>
          <w:p>
            <w:pPr>
              <w:widowControl/>
              <w:spacing w:line="240" w:lineRule="auto"/>
              <w:ind w:firstLine="0" w:firstLineChars="0"/>
              <w:jc w:val="center"/>
              <w:rPr>
                <w:rFonts w:hint="default" w:eastAsia="仿宋_GB2312"/>
                <w:lang w:val="en-US" w:eastAsia="zh-CN"/>
              </w:rPr>
            </w:pPr>
            <w:r>
              <w:rPr>
                <w:rFonts w:hint="eastAsia"/>
                <w:kern w:val="0"/>
                <w:sz w:val="21"/>
                <w:szCs w:val="21"/>
                <w:lang w:val="en-US" w:eastAsia="zh-CN"/>
              </w:rPr>
              <w:t>90</w:t>
            </w:r>
          </w:p>
        </w:tc>
        <w:tc>
          <w:tcPr>
            <w:tcW w:w="414" w:type="pct"/>
            <w:gridSpan w:val="2"/>
            <w:noWrap w:val="0"/>
            <w:vAlign w:val="center"/>
          </w:tcPr>
          <w:p>
            <w:pPr>
              <w:pStyle w:val="17"/>
              <w:bidi w:val="0"/>
              <w:ind w:firstLine="0" w:firstLineChars="0"/>
            </w:pPr>
            <w:r>
              <w:rPr>
                <w:rFonts w:hint="eastAsia"/>
                <w:highlight w:val="none"/>
                <w:lang w:val="en-US" w:eastAsia="zh-CN"/>
              </w:rPr>
              <w:t>99</w:t>
            </w:r>
          </w:p>
        </w:tc>
        <w:tc>
          <w:tcPr>
            <w:tcW w:w="1027" w:type="pct"/>
            <w:gridSpan w:val="3"/>
            <w:noWrap w:val="0"/>
            <w:vAlign w:val="center"/>
          </w:tcPr>
          <w:p>
            <w:pPr>
              <w:pStyle w:val="17"/>
              <w:bidi w:val="0"/>
            </w:pPr>
            <w:r>
              <w:t>植物措施面积hm</w:t>
            </w:r>
            <w:r>
              <w:rPr>
                <w:szCs w:val="22"/>
                <w:vertAlign w:val="superscript"/>
              </w:rPr>
              <w:t>2</w:t>
            </w:r>
          </w:p>
        </w:tc>
        <w:tc>
          <w:tcPr>
            <w:tcW w:w="400" w:type="pct"/>
            <w:noWrap w:val="0"/>
            <w:vAlign w:val="center"/>
          </w:tcPr>
          <w:p>
            <w:pPr>
              <w:pStyle w:val="17"/>
              <w:bidi w:val="0"/>
              <w:rPr>
                <w:rFonts w:hint="default" w:eastAsia="仿宋_GB2312"/>
                <w:lang w:val="en-US" w:eastAsia="zh-CN"/>
              </w:rPr>
            </w:pPr>
            <w:r>
              <w:rPr>
                <w:rFonts w:hint="eastAsia"/>
                <w:lang w:val="en-US" w:eastAsia="zh-CN"/>
              </w:rPr>
              <w:t>5.76</w:t>
            </w:r>
          </w:p>
        </w:tc>
        <w:tc>
          <w:tcPr>
            <w:tcW w:w="997" w:type="pct"/>
            <w:gridSpan w:val="3"/>
            <w:noWrap w:val="0"/>
            <w:vAlign w:val="center"/>
          </w:tcPr>
          <w:p>
            <w:pPr>
              <w:pStyle w:val="17"/>
              <w:bidi w:val="0"/>
            </w:pPr>
            <w:r>
              <w:t>监测土壤流失情况t/km</w:t>
            </w:r>
            <w:r>
              <w:rPr>
                <w:szCs w:val="22"/>
                <w:vertAlign w:val="superscript"/>
              </w:rPr>
              <w:t>2</w:t>
            </w:r>
            <w:r>
              <w:t>·a</w:t>
            </w:r>
          </w:p>
        </w:tc>
        <w:tc>
          <w:tcPr>
            <w:tcW w:w="403" w:type="pct"/>
            <w:noWrap w:val="0"/>
            <w:vAlign w:val="center"/>
          </w:tcPr>
          <w:p>
            <w:pPr>
              <w:pStyle w:val="17"/>
              <w:bidi w:val="0"/>
              <w:rPr>
                <w:rFonts w:hint="default" w:eastAsia="仿宋_GB2312"/>
                <w:lang w:val="en-US" w:eastAsia="zh-CN"/>
              </w:rPr>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4" w:hRule="atLeast"/>
          <w:jc w:val="center"/>
        </w:trPr>
        <w:tc>
          <w:tcPr>
            <w:tcW w:w="252" w:type="pct"/>
            <w:vMerge w:val="continue"/>
            <w:noWrap w:val="0"/>
            <w:vAlign w:val="center"/>
          </w:tcPr>
          <w:p>
            <w:pPr>
              <w:pStyle w:val="17"/>
              <w:bidi w:val="0"/>
            </w:pPr>
          </w:p>
        </w:tc>
        <w:tc>
          <w:tcPr>
            <w:tcW w:w="233" w:type="pct"/>
            <w:vMerge w:val="continue"/>
            <w:noWrap w:val="0"/>
            <w:vAlign w:val="center"/>
          </w:tcPr>
          <w:p>
            <w:pPr>
              <w:pStyle w:val="17"/>
              <w:bidi w:val="0"/>
            </w:pPr>
          </w:p>
        </w:tc>
        <w:tc>
          <w:tcPr>
            <w:tcW w:w="895" w:type="pct"/>
            <w:gridSpan w:val="2"/>
            <w:noWrap w:val="0"/>
            <w:vAlign w:val="center"/>
          </w:tcPr>
          <w:p>
            <w:pPr>
              <w:pStyle w:val="17"/>
              <w:bidi w:val="0"/>
            </w:pPr>
            <w:r>
              <w:t>林草植被恢复率</w:t>
            </w:r>
            <w:r>
              <w:rPr>
                <w:rFonts w:hint="eastAsia"/>
                <w:lang w:eastAsia="zh-CN"/>
              </w:rPr>
              <w:t>（</w:t>
            </w:r>
            <w:r>
              <w:rPr>
                <w:rFonts w:hint="eastAsia"/>
                <w:lang w:val="en-US" w:eastAsia="zh-CN"/>
              </w:rPr>
              <w:t>%</w:t>
            </w:r>
            <w:r>
              <w:rPr>
                <w:rFonts w:hint="eastAsia"/>
                <w:lang w:eastAsia="zh-CN"/>
              </w:rPr>
              <w:t>）</w:t>
            </w:r>
          </w:p>
        </w:tc>
        <w:tc>
          <w:tcPr>
            <w:tcW w:w="376" w:type="pct"/>
            <w:noWrap w:val="0"/>
            <w:vAlign w:val="center"/>
          </w:tcPr>
          <w:p>
            <w:pPr>
              <w:widowControl/>
              <w:spacing w:line="240" w:lineRule="auto"/>
              <w:ind w:firstLine="0" w:firstLineChars="0"/>
              <w:jc w:val="center"/>
              <w:rPr>
                <w:rFonts w:hint="default"/>
                <w:lang w:val="en-US"/>
              </w:rPr>
            </w:pPr>
            <w:r>
              <w:rPr>
                <w:rFonts w:hint="eastAsia"/>
                <w:kern w:val="0"/>
                <w:sz w:val="21"/>
                <w:szCs w:val="21"/>
                <w:lang w:val="en-US" w:eastAsia="zh-CN"/>
              </w:rPr>
              <w:t>92</w:t>
            </w:r>
          </w:p>
        </w:tc>
        <w:tc>
          <w:tcPr>
            <w:tcW w:w="414" w:type="pct"/>
            <w:gridSpan w:val="2"/>
            <w:noWrap w:val="0"/>
            <w:vAlign w:val="center"/>
          </w:tcPr>
          <w:p>
            <w:pPr>
              <w:pStyle w:val="17"/>
              <w:bidi w:val="0"/>
              <w:ind w:firstLine="0" w:firstLineChars="0"/>
            </w:pPr>
            <w:r>
              <w:rPr>
                <w:rFonts w:hint="eastAsia"/>
                <w:highlight w:val="none"/>
              </w:rPr>
              <w:t>100</w:t>
            </w:r>
          </w:p>
        </w:tc>
        <w:tc>
          <w:tcPr>
            <w:tcW w:w="1027" w:type="pct"/>
            <w:gridSpan w:val="3"/>
            <w:noWrap w:val="0"/>
            <w:vAlign w:val="center"/>
          </w:tcPr>
          <w:p>
            <w:pPr>
              <w:pStyle w:val="17"/>
              <w:bidi w:val="0"/>
            </w:pPr>
            <w:r>
              <w:t>可恢复林草植被面积hm</w:t>
            </w:r>
            <w:r>
              <w:rPr>
                <w:szCs w:val="22"/>
                <w:vertAlign w:val="superscript"/>
              </w:rPr>
              <w:t>2</w:t>
            </w:r>
          </w:p>
        </w:tc>
        <w:tc>
          <w:tcPr>
            <w:tcW w:w="400" w:type="pct"/>
            <w:noWrap w:val="0"/>
            <w:vAlign w:val="center"/>
          </w:tcPr>
          <w:p>
            <w:pPr>
              <w:pStyle w:val="17"/>
              <w:bidi w:val="0"/>
              <w:rPr>
                <w:rFonts w:hint="default" w:eastAsia="仿宋_GB2312"/>
                <w:lang w:val="en-US" w:eastAsia="zh-CN"/>
              </w:rPr>
            </w:pPr>
            <w:r>
              <w:rPr>
                <w:rFonts w:hint="eastAsia"/>
                <w:lang w:val="en-US" w:eastAsia="zh-CN"/>
              </w:rPr>
              <w:t>5.76</w:t>
            </w:r>
          </w:p>
        </w:tc>
        <w:tc>
          <w:tcPr>
            <w:tcW w:w="997" w:type="pct"/>
            <w:gridSpan w:val="3"/>
            <w:noWrap w:val="0"/>
            <w:vAlign w:val="center"/>
          </w:tcPr>
          <w:p>
            <w:pPr>
              <w:pStyle w:val="17"/>
              <w:bidi w:val="0"/>
            </w:pPr>
            <w:r>
              <w:t>林草类植被面积hm</w:t>
            </w:r>
            <w:r>
              <w:rPr>
                <w:szCs w:val="22"/>
                <w:vertAlign w:val="superscript"/>
              </w:rPr>
              <w:t>2</w:t>
            </w:r>
          </w:p>
        </w:tc>
        <w:tc>
          <w:tcPr>
            <w:tcW w:w="403" w:type="pct"/>
            <w:noWrap w:val="0"/>
            <w:vAlign w:val="center"/>
          </w:tcPr>
          <w:p>
            <w:pPr>
              <w:pStyle w:val="17"/>
              <w:bidi w:val="0"/>
              <w:rPr>
                <w:rFonts w:hint="default" w:eastAsia="仿宋_GB2312"/>
                <w:lang w:val="en-US" w:eastAsia="zh-CN"/>
              </w:rPr>
            </w:pPr>
            <w:r>
              <w:rPr>
                <w:rFonts w:hint="eastAsia"/>
                <w:lang w:val="en-US" w:eastAsia="zh-CN"/>
              </w:rPr>
              <w:t>5.76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4" w:hRule="atLeast"/>
          <w:jc w:val="center"/>
        </w:trPr>
        <w:tc>
          <w:tcPr>
            <w:tcW w:w="252" w:type="pct"/>
            <w:vMerge w:val="continue"/>
            <w:noWrap w:val="0"/>
            <w:vAlign w:val="center"/>
          </w:tcPr>
          <w:p>
            <w:pPr>
              <w:pStyle w:val="17"/>
              <w:bidi w:val="0"/>
            </w:pPr>
          </w:p>
        </w:tc>
        <w:tc>
          <w:tcPr>
            <w:tcW w:w="233" w:type="pct"/>
            <w:vMerge w:val="continue"/>
            <w:noWrap w:val="0"/>
            <w:vAlign w:val="center"/>
          </w:tcPr>
          <w:p>
            <w:pPr>
              <w:pStyle w:val="17"/>
              <w:bidi w:val="0"/>
            </w:pPr>
          </w:p>
        </w:tc>
        <w:tc>
          <w:tcPr>
            <w:tcW w:w="895" w:type="pct"/>
            <w:gridSpan w:val="2"/>
            <w:noWrap w:val="0"/>
            <w:vAlign w:val="center"/>
          </w:tcPr>
          <w:p>
            <w:pPr>
              <w:pStyle w:val="17"/>
              <w:bidi w:val="0"/>
            </w:pPr>
            <w:r>
              <w:t>林草覆盖率</w:t>
            </w:r>
            <w:r>
              <w:rPr>
                <w:rFonts w:hint="eastAsia"/>
                <w:lang w:eastAsia="zh-CN"/>
              </w:rPr>
              <w:t>（</w:t>
            </w:r>
            <w:r>
              <w:rPr>
                <w:rFonts w:hint="eastAsia"/>
                <w:lang w:val="en-US" w:eastAsia="zh-CN"/>
              </w:rPr>
              <w:t>%</w:t>
            </w:r>
            <w:r>
              <w:rPr>
                <w:rFonts w:hint="eastAsia"/>
                <w:lang w:eastAsia="zh-CN"/>
              </w:rPr>
              <w:t>）</w:t>
            </w:r>
          </w:p>
        </w:tc>
        <w:tc>
          <w:tcPr>
            <w:tcW w:w="376" w:type="pct"/>
            <w:noWrap w:val="0"/>
            <w:vAlign w:val="center"/>
          </w:tcPr>
          <w:p>
            <w:pPr>
              <w:widowControl/>
              <w:spacing w:line="240" w:lineRule="auto"/>
              <w:ind w:firstLine="0" w:firstLineChars="0"/>
              <w:jc w:val="center"/>
              <w:rPr>
                <w:rFonts w:hint="default"/>
                <w:lang w:val="en-US"/>
              </w:rPr>
            </w:pPr>
            <w:r>
              <w:rPr>
                <w:rFonts w:hint="eastAsia"/>
                <w:kern w:val="0"/>
                <w:sz w:val="21"/>
                <w:szCs w:val="21"/>
                <w:lang w:val="en-US" w:eastAsia="zh-CN"/>
              </w:rPr>
              <w:t>17</w:t>
            </w:r>
          </w:p>
        </w:tc>
        <w:tc>
          <w:tcPr>
            <w:tcW w:w="414" w:type="pct"/>
            <w:gridSpan w:val="2"/>
            <w:noWrap w:val="0"/>
            <w:vAlign w:val="center"/>
          </w:tcPr>
          <w:p>
            <w:pPr>
              <w:pStyle w:val="17"/>
              <w:bidi w:val="0"/>
              <w:ind w:firstLine="0" w:firstLineChars="0"/>
              <w:rPr>
                <w:rFonts w:hint="default"/>
                <w:lang w:val="en-US"/>
              </w:rPr>
            </w:pPr>
            <w:r>
              <w:rPr>
                <w:rFonts w:hint="eastAsia"/>
                <w:highlight w:val="none"/>
                <w:lang w:val="en-US" w:eastAsia="zh-CN"/>
              </w:rPr>
              <w:t>57</w:t>
            </w:r>
          </w:p>
        </w:tc>
        <w:tc>
          <w:tcPr>
            <w:tcW w:w="1027" w:type="pct"/>
            <w:gridSpan w:val="3"/>
            <w:noWrap w:val="0"/>
            <w:vAlign w:val="center"/>
          </w:tcPr>
          <w:p>
            <w:pPr>
              <w:pStyle w:val="17"/>
              <w:bidi w:val="0"/>
            </w:pPr>
            <w:r>
              <w:t>实际拦挡弃渣量万m</w:t>
            </w:r>
            <w:r>
              <w:rPr>
                <w:szCs w:val="22"/>
                <w:vertAlign w:val="superscript"/>
              </w:rPr>
              <w:t>3</w:t>
            </w:r>
          </w:p>
        </w:tc>
        <w:tc>
          <w:tcPr>
            <w:tcW w:w="400" w:type="pct"/>
            <w:noWrap w:val="0"/>
            <w:vAlign w:val="center"/>
          </w:tcPr>
          <w:p>
            <w:pPr>
              <w:pStyle w:val="17"/>
              <w:bidi w:val="0"/>
              <w:rPr>
                <w:rFonts w:hint="default" w:eastAsia="仿宋_GB2312"/>
                <w:lang w:val="en-US" w:eastAsia="zh-CN"/>
              </w:rPr>
            </w:pPr>
            <w:r>
              <w:rPr>
                <w:rFonts w:hint="eastAsia"/>
                <w:lang w:val="en-US" w:eastAsia="zh-CN"/>
              </w:rPr>
              <w:t>0</w:t>
            </w:r>
          </w:p>
        </w:tc>
        <w:tc>
          <w:tcPr>
            <w:tcW w:w="997" w:type="pct"/>
            <w:gridSpan w:val="3"/>
            <w:noWrap w:val="0"/>
            <w:vAlign w:val="center"/>
          </w:tcPr>
          <w:p>
            <w:pPr>
              <w:pStyle w:val="17"/>
              <w:bidi w:val="0"/>
            </w:pPr>
            <w:r>
              <w:t>总弃渣量万m</w:t>
            </w:r>
            <w:r>
              <w:rPr>
                <w:szCs w:val="22"/>
                <w:vertAlign w:val="superscript"/>
              </w:rPr>
              <w:t>3</w:t>
            </w:r>
          </w:p>
        </w:tc>
        <w:tc>
          <w:tcPr>
            <w:tcW w:w="403" w:type="pct"/>
            <w:noWrap w:val="0"/>
            <w:vAlign w:val="center"/>
          </w:tcPr>
          <w:p>
            <w:pPr>
              <w:pStyle w:val="17"/>
              <w:bidi w:val="0"/>
              <w:rPr>
                <w:rFonts w:hint="default" w:eastAsia="仿宋_GB2312"/>
                <w:lang w:val="en-US" w:eastAsia="zh-CN"/>
              </w:rPr>
            </w:pPr>
            <w:r>
              <w:rPr>
                <w:rFonts w:hint="eastAsia"/>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80" w:hRule="atLeast"/>
          <w:jc w:val="center"/>
        </w:trPr>
        <w:tc>
          <w:tcPr>
            <w:tcW w:w="252" w:type="pct"/>
            <w:vMerge w:val="continue"/>
            <w:noWrap w:val="0"/>
            <w:vAlign w:val="center"/>
          </w:tcPr>
          <w:p>
            <w:pPr>
              <w:pStyle w:val="17"/>
              <w:bidi w:val="0"/>
            </w:pPr>
          </w:p>
        </w:tc>
        <w:tc>
          <w:tcPr>
            <w:tcW w:w="1129" w:type="pct"/>
            <w:gridSpan w:val="3"/>
            <w:noWrap w:val="0"/>
            <w:vAlign w:val="center"/>
          </w:tcPr>
          <w:p>
            <w:pPr>
              <w:pStyle w:val="17"/>
              <w:bidi w:val="0"/>
            </w:pPr>
            <w:r>
              <w:t>水土保持治理</w:t>
            </w:r>
          </w:p>
          <w:p>
            <w:pPr>
              <w:pStyle w:val="17"/>
              <w:bidi w:val="0"/>
            </w:pPr>
            <w:r>
              <w:t>达标评价</w:t>
            </w:r>
          </w:p>
        </w:tc>
        <w:tc>
          <w:tcPr>
            <w:tcW w:w="3617" w:type="pct"/>
            <w:gridSpan w:val="11"/>
            <w:noWrap w:val="0"/>
            <w:vAlign w:val="center"/>
          </w:tcPr>
          <w:p>
            <w:pPr>
              <w:adjustRightInd w:val="0"/>
              <w:snapToGrid w:val="0"/>
              <w:spacing w:line="300" w:lineRule="auto"/>
              <w:ind w:firstLine="420" w:firstLineChars="200"/>
              <w:rPr>
                <w:rFonts w:ascii="Times New Roman" w:hAnsi="Times New Roman" w:eastAsia="仿宋_GB2312" w:cstheme="minorBidi"/>
                <w:kern w:val="0"/>
                <w:sz w:val="21"/>
                <w:szCs w:val="22"/>
              </w:rPr>
            </w:pPr>
            <w:r>
              <w:rPr>
                <w:rFonts w:ascii="Times New Roman" w:hAnsi="Times New Roman" w:eastAsia="仿宋_GB2312" w:cstheme="minorBidi"/>
                <w:kern w:val="0"/>
                <w:sz w:val="21"/>
                <w:szCs w:val="22"/>
              </w:rPr>
              <w:t>工程施工过程中，按照水土保持的设计要求，布置临时排水沟、临时覆盖措施控制施工过程中水土流失现象，施工过程中没有产生严重的水土流失危害，工程的绿化等各类措施都已基本落实，有效的控制了水土流失。</w:t>
            </w:r>
          </w:p>
          <w:p>
            <w:pPr>
              <w:adjustRightInd w:val="0"/>
              <w:snapToGrid w:val="0"/>
              <w:spacing w:line="300" w:lineRule="auto"/>
              <w:ind w:firstLine="420" w:firstLineChars="200"/>
              <w:rPr>
                <w:rFonts w:hint="eastAsia" w:ascii="Times New Roman" w:hAnsi="Times New Roman" w:eastAsia="仿宋_GB2312" w:cstheme="minorBidi"/>
                <w:kern w:val="0"/>
                <w:sz w:val="21"/>
                <w:szCs w:val="22"/>
                <w:lang w:val="en-US" w:eastAsia="zh-CN"/>
              </w:rPr>
            </w:pPr>
            <w:r>
              <w:rPr>
                <w:rFonts w:hint="eastAsia" w:cstheme="minorBidi"/>
                <w:kern w:val="0"/>
                <w:sz w:val="21"/>
                <w:szCs w:val="22"/>
                <w:lang w:val="en-US" w:eastAsia="zh-CN"/>
              </w:rPr>
              <w:t>建筑物区、道路及管线区、绿化区、预留用地</w:t>
            </w:r>
            <w:r>
              <w:rPr>
                <w:rFonts w:hint="eastAsia" w:ascii="Times New Roman" w:hAnsi="Times New Roman" w:eastAsia="仿宋_GB2312" w:cstheme="minorBidi"/>
                <w:kern w:val="0"/>
                <w:sz w:val="21"/>
                <w:szCs w:val="22"/>
                <w:lang w:val="en-US" w:eastAsia="zh-CN"/>
              </w:rPr>
              <w:t>区</w:t>
            </w:r>
            <w:r>
              <w:rPr>
                <w:rFonts w:hint="eastAsia" w:cstheme="minorBidi"/>
                <w:kern w:val="0"/>
                <w:sz w:val="21"/>
                <w:szCs w:val="22"/>
                <w:lang w:val="en-US" w:eastAsia="zh-CN"/>
              </w:rPr>
              <w:t>、施工营造区</w:t>
            </w:r>
            <w:r>
              <w:rPr>
                <w:rFonts w:hint="eastAsia" w:ascii="Times New Roman" w:hAnsi="Times New Roman" w:eastAsia="仿宋_GB2312" w:cstheme="minorBidi"/>
                <w:kern w:val="0"/>
                <w:sz w:val="21"/>
                <w:szCs w:val="22"/>
                <w:lang w:val="en-US" w:eastAsia="zh-CN"/>
              </w:rPr>
              <w:t>按设计要求落实了各项水土保持措施，项目区施工扰动区域基本得到治理，各项措施运行良好。</w:t>
            </w:r>
          </w:p>
          <w:p>
            <w:pPr>
              <w:adjustRightInd w:val="0"/>
              <w:snapToGrid w:val="0"/>
              <w:spacing w:line="300" w:lineRule="auto"/>
              <w:ind w:firstLine="420" w:firstLineChars="200"/>
            </w:pPr>
            <w:r>
              <w:rPr>
                <w:rFonts w:hint="eastAsia" w:cstheme="minorBidi"/>
                <w:kern w:val="0"/>
                <w:sz w:val="21"/>
                <w:szCs w:val="22"/>
                <w:lang w:val="en-US" w:eastAsia="zh-CN"/>
              </w:rPr>
              <w:t>临时堆土区</w:t>
            </w:r>
            <w:r>
              <w:rPr>
                <w:rFonts w:ascii="Times New Roman" w:hAnsi="Times New Roman" w:eastAsia="仿宋_GB2312" w:cstheme="minorBidi"/>
                <w:kern w:val="0"/>
                <w:sz w:val="21"/>
                <w:szCs w:val="22"/>
              </w:rPr>
              <w:t>通过布置</w:t>
            </w:r>
            <w:r>
              <w:rPr>
                <w:rFonts w:hint="eastAsia" w:cstheme="minorBidi"/>
                <w:kern w:val="0"/>
                <w:sz w:val="21"/>
                <w:szCs w:val="22"/>
                <w:lang w:val="en-US" w:eastAsia="zh-CN"/>
              </w:rPr>
              <w:t>土袋拦挡</w:t>
            </w:r>
            <w:r>
              <w:rPr>
                <w:rFonts w:ascii="Times New Roman" w:hAnsi="Times New Roman" w:eastAsia="仿宋_GB2312" w:cstheme="minorBidi"/>
                <w:kern w:val="0"/>
                <w:sz w:val="21"/>
                <w:szCs w:val="22"/>
              </w:rPr>
              <w:t>、排水沟、植被恢复措施等多项水土保持措施，项目区得到有效治理。水土流失六项指标达到方案设计的防治目标。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252" w:type="pct"/>
            <w:vMerge w:val="continue"/>
            <w:noWrap w:val="0"/>
            <w:vAlign w:val="center"/>
          </w:tcPr>
          <w:p>
            <w:pPr>
              <w:pStyle w:val="17"/>
              <w:bidi w:val="0"/>
            </w:pPr>
          </w:p>
        </w:tc>
        <w:tc>
          <w:tcPr>
            <w:tcW w:w="1129" w:type="pct"/>
            <w:gridSpan w:val="3"/>
            <w:noWrap w:val="0"/>
            <w:vAlign w:val="center"/>
          </w:tcPr>
          <w:p>
            <w:pPr>
              <w:pStyle w:val="17"/>
              <w:bidi w:val="0"/>
            </w:pPr>
            <w:r>
              <w:t>总体结论</w:t>
            </w:r>
          </w:p>
        </w:tc>
        <w:tc>
          <w:tcPr>
            <w:tcW w:w="3617" w:type="pct"/>
            <w:gridSpan w:val="11"/>
            <w:noWrap w:val="0"/>
            <w:vAlign w:val="center"/>
          </w:tcPr>
          <w:p>
            <w:pPr>
              <w:pStyle w:val="17"/>
              <w:bidi w:val="0"/>
            </w:pPr>
            <w:r>
              <w:t>工程实施过程中，采取工程措施、植物措施、临时措施相结合对工程施工扰动区域进行治理，有效控制了因工程建设造成的水土流失。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 w:hRule="atLeast"/>
          <w:jc w:val="center"/>
        </w:trPr>
        <w:tc>
          <w:tcPr>
            <w:tcW w:w="1382" w:type="pct"/>
            <w:gridSpan w:val="4"/>
            <w:noWrap w:val="0"/>
            <w:vAlign w:val="center"/>
          </w:tcPr>
          <w:p>
            <w:pPr>
              <w:pStyle w:val="17"/>
              <w:bidi w:val="0"/>
            </w:pPr>
            <w:r>
              <w:t>主要建议</w:t>
            </w:r>
          </w:p>
        </w:tc>
        <w:tc>
          <w:tcPr>
            <w:tcW w:w="3617" w:type="pct"/>
            <w:gridSpan w:val="11"/>
            <w:noWrap w:val="0"/>
            <w:vAlign w:val="center"/>
          </w:tcPr>
          <w:p>
            <w:pPr>
              <w:pStyle w:val="17"/>
              <w:bidi w:val="0"/>
            </w:pPr>
            <w:r>
              <w:t>通过对项目区的全面调查监测，本工程水土保持方案设计的各项水土保持措施基本得到落实，运营管理单位应加强水土保持设施的管理，确保水土保持设施正常运行并发挥效益。</w:t>
            </w:r>
          </w:p>
        </w:tc>
      </w:tr>
    </w:tbl>
    <w:p>
      <w:pPr>
        <w:pStyle w:val="24"/>
        <w:ind w:left="0" w:leftChars="0" w:firstLine="0" w:firstLineChars="0"/>
        <w:rPr>
          <w:color w:val="auto"/>
        </w:rPr>
        <w:sectPr>
          <w:footerReference r:id="rId15" w:type="default"/>
          <w:pgSz w:w="16783" w:h="23757"/>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bidi w:val="0"/>
      </w:pPr>
      <w:bookmarkStart w:id="2" w:name="_Toc22369"/>
      <w:bookmarkStart w:id="3" w:name="_Toc12992"/>
      <w:bookmarkStart w:id="4" w:name="_Toc44318473"/>
      <w:r>
        <w:t>1 建设项目及水土保持工程概况</w:t>
      </w:r>
      <w:bookmarkEnd w:id="2"/>
      <w:bookmarkEnd w:id="3"/>
      <w:bookmarkEnd w:id="4"/>
    </w:p>
    <w:p>
      <w:pPr>
        <w:pStyle w:val="4"/>
      </w:pPr>
      <w:bookmarkStart w:id="5" w:name="_Toc247706038"/>
      <w:bookmarkStart w:id="6" w:name="_Toc44318474"/>
      <w:bookmarkStart w:id="7" w:name="_Toc21302"/>
      <w:bookmarkStart w:id="8" w:name="_Toc216518498"/>
      <w:bookmarkStart w:id="9" w:name="_Toc30056"/>
      <w:bookmarkStart w:id="10" w:name="_Toc298858006"/>
      <w:bookmarkStart w:id="11" w:name="_Toc216518791"/>
      <w:r>
        <w:t>1.1 项目建设概况</w:t>
      </w:r>
      <w:bookmarkEnd w:id="5"/>
      <w:bookmarkEnd w:id="6"/>
      <w:bookmarkEnd w:id="7"/>
      <w:bookmarkEnd w:id="8"/>
      <w:bookmarkEnd w:id="9"/>
      <w:bookmarkEnd w:id="10"/>
      <w:bookmarkEnd w:id="11"/>
    </w:p>
    <w:p>
      <w:pPr>
        <w:pStyle w:val="5"/>
        <w:spacing w:line="360" w:lineRule="auto"/>
        <w:rPr>
          <w:rFonts w:eastAsia="仿宋_GB2312"/>
          <w:color w:val="000000"/>
          <w:sz w:val="24"/>
          <w:szCs w:val="24"/>
        </w:rPr>
      </w:pPr>
      <w:bookmarkStart w:id="12" w:name="_Toc16516"/>
      <w:bookmarkStart w:id="13" w:name="_Toc258997155"/>
      <w:bookmarkStart w:id="14" w:name="_Toc259169361"/>
      <w:r>
        <w:rPr>
          <w:rFonts w:eastAsia="仿宋_GB2312"/>
          <w:color w:val="000000"/>
          <w:sz w:val="24"/>
          <w:szCs w:val="24"/>
        </w:rPr>
        <w:t>1.1.1</w:t>
      </w:r>
      <w:bookmarkEnd w:id="12"/>
      <w:bookmarkEnd w:id="13"/>
      <w:bookmarkEnd w:id="14"/>
      <w:r>
        <w:rPr>
          <w:rFonts w:eastAsia="仿宋_GB2312"/>
          <w:color w:val="000000"/>
          <w:sz w:val="24"/>
          <w:szCs w:val="24"/>
        </w:rPr>
        <w:t>项目基本概况</w:t>
      </w:r>
    </w:p>
    <w:p>
      <w:pPr>
        <w:pStyle w:val="24"/>
        <w:outlineLvl w:val="3"/>
      </w:pPr>
      <w:r>
        <w:t>1、建设位置</w:t>
      </w:r>
    </w:p>
    <w:p>
      <w:pPr>
        <w:bidi w:val="0"/>
        <w:rPr>
          <w:rFonts w:hint="eastAsia"/>
          <w:lang w:eastAsia="zh-CN"/>
        </w:rPr>
      </w:pPr>
      <w:r>
        <w:rPr>
          <w:rFonts w:hint="eastAsia"/>
          <w:lang w:eastAsia="zh-CN"/>
        </w:rPr>
        <w:t>东海岛15万m³/d 自来水厂工程</w:t>
      </w:r>
      <w:r>
        <w:t>位于</w:t>
      </w:r>
      <w:r>
        <w:rPr>
          <w:rFonts w:hint="eastAsia"/>
          <w:lang w:eastAsia="zh-CN"/>
        </w:rPr>
        <w:t>湛江市东海岛东山镇调伦村东海大道以北、什足河以东、规划东成大道以南</w:t>
      </w:r>
      <w:r>
        <w:rPr>
          <w:rFonts w:hint="eastAsia"/>
          <w:lang w:val="en-US" w:eastAsia="zh-CN"/>
        </w:rPr>
        <w:t>。</w:t>
      </w:r>
    </w:p>
    <w:p>
      <w:pPr>
        <w:pStyle w:val="16"/>
        <w:ind w:left="0" w:leftChars="0" w:firstLine="0" w:firstLineChars="0"/>
        <w:rPr>
          <w:rFonts w:hint="eastAsia"/>
          <w:lang w:val="en-US" w:eastAsia="zh-CN"/>
        </w:rPr>
      </w:pPr>
      <w:r>
        <w:drawing>
          <wp:inline distT="0" distB="0" distL="114300" distR="114300">
            <wp:extent cx="5273040" cy="3715385"/>
            <wp:effectExtent l="0" t="0" r="3810" b="18415"/>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33"/>
                    <a:stretch>
                      <a:fillRect/>
                    </a:stretch>
                  </pic:blipFill>
                  <pic:spPr>
                    <a:xfrm>
                      <a:off x="0" y="0"/>
                      <a:ext cx="5273040" cy="3715385"/>
                    </a:xfrm>
                    <a:prstGeom prst="rect">
                      <a:avLst/>
                    </a:prstGeom>
                    <a:noFill/>
                    <a:ln>
                      <a:noFill/>
                    </a:ln>
                  </pic:spPr>
                </pic:pic>
              </a:graphicData>
            </a:graphic>
          </wp:inline>
        </w:drawing>
      </w:r>
    </w:p>
    <w:p>
      <w:pPr>
        <w:pStyle w:val="7"/>
        <w:bidi w:val="0"/>
        <w:rPr>
          <w:rFonts w:hint="default" w:eastAsia="仿宋_GB2312"/>
          <w:lang w:val="en-US" w:eastAsia="zh-CN"/>
        </w:rPr>
      </w:pPr>
      <w:r>
        <w:t xml:space="preserve">图1.1- </w:t>
      </w:r>
      <w:r>
        <w:fldChar w:fldCharType="begin"/>
      </w:r>
      <w:r>
        <w:instrText xml:space="preserve"> SEQ 图1.1- \* ARABIC </w:instrText>
      </w:r>
      <w:r>
        <w:fldChar w:fldCharType="separate"/>
      </w:r>
      <w:r>
        <w:t>1</w:t>
      </w:r>
      <w:r>
        <w:fldChar w:fldCharType="end"/>
      </w:r>
      <w:r>
        <w:rPr>
          <w:rFonts w:hint="eastAsia"/>
          <w:lang w:val="en-US" w:eastAsia="zh-CN"/>
        </w:rPr>
        <w:t>项目区地理位置图</w:t>
      </w:r>
    </w:p>
    <w:p>
      <w:pPr>
        <w:pStyle w:val="24"/>
        <w:outlineLvl w:val="3"/>
      </w:pPr>
      <w:r>
        <w:t>2、技术指标</w:t>
      </w:r>
    </w:p>
    <w:p>
      <w:pPr>
        <w:ind w:firstLine="470" w:firstLineChars="196"/>
        <w:rPr>
          <w:szCs w:val="24"/>
        </w:rPr>
      </w:pPr>
      <w:r>
        <w:rPr>
          <w:rFonts w:hint="default" w:ascii="Times New Roman" w:hAnsi="Times New Roman" w:eastAsia="仿宋" w:cs="Times New Roman"/>
          <w:sz w:val="24"/>
          <w:szCs w:val="24"/>
        </w:rPr>
        <w:t>项目</w:t>
      </w:r>
      <w:r>
        <w:rPr>
          <w:rFonts w:hint="default" w:ascii="Times New Roman" w:hAnsi="Times New Roman" w:eastAsia="仿宋" w:cs="Times New Roman"/>
          <w:snapToGrid w:val="0"/>
          <w:kern w:val="0"/>
          <w:sz w:val="24"/>
          <w:szCs w:val="24"/>
        </w:rPr>
        <w:t>红线总占地面积10.03hm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napToGrid w:val="0"/>
          <w:kern w:val="0"/>
          <w:sz w:val="24"/>
          <w:szCs w:val="24"/>
        </w:rPr>
        <w:t>，其中一期建设用地面积7.49hm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napToGrid w:val="0"/>
          <w:kern w:val="0"/>
          <w:sz w:val="24"/>
          <w:szCs w:val="24"/>
        </w:rPr>
        <w:t>，预留用地面积2.54hm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napToGrid w:val="0"/>
          <w:kern w:val="0"/>
          <w:sz w:val="24"/>
          <w:szCs w:val="24"/>
        </w:rPr>
        <w:t>，预留用地将用于二期开发。</w:t>
      </w:r>
      <w:r>
        <w:rPr>
          <w:rFonts w:hint="default" w:ascii="Times New Roman" w:hAnsi="Times New Roman" w:eastAsia="仿宋" w:cs="Times New Roman"/>
          <w:sz w:val="24"/>
          <w:szCs w:val="24"/>
        </w:rPr>
        <w:t>总建筑面积40300</w:t>
      </w:r>
      <w:r>
        <w:rPr>
          <w:rFonts w:hint="default" w:ascii="Times New Roman" w:hAnsi="Times New Roman" w:eastAsia="仿宋" w:cs="Times New Roman"/>
          <w:snapToGrid w:val="0"/>
          <w:kern w:val="0"/>
          <w:sz w:val="24"/>
          <w:szCs w:val="24"/>
        </w:rPr>
        <w:t xml:space="preserve"> 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z w:val="24"/>
          <w:szCs w:val="24"/>
        </w:rPr>
        <w:t>，构建筑物占地面积36730</w:t>
      </w:r>
      <w:r>
        <w:rPr>
          <w:rFonts w:hint="default" w:ascii="Times New Roman" w:hAnsi="Times New Roman" w:eastAsia="仿宋" w:cs="Times New Roman"/>
          <w:snapToGrid w:val="0"/>
          <w:kern w:val="0"/>
          <w:sz w:val="24"/>
          <w:szCs w:val="24"/>
        </w:rPr>
        <w:t xml:space="preserve"> m</w:t>
      </w:r>
      <w:r>
        <w:rPr>
          <w:rFonts w:hint="default" w:ascii="Times New Roman" w:hAnsi="Times New Roman" w:eastAsia="仿宋" w:cs="Times New Roman"/>
          <w:snapToGrid w:val="0"/>
          <w:kern w:val="0"/>
          <w:sz w:val="24"/>
          <w:szCs w:val="24"/>
          <w:vertAlign w:val="superscript"/>
        </w:rPr>
        <w:t>2</w:t>
      </w:r>
      <w:r>
        <w:rPr>
          <w:rFonts w:hint="default" w:ascii="Times New Roman" w:hAnsi="Times New Roman" w:eastAsia="仿宋" w:cs="Times New Roman"/>
          <w:sz w:val="24"/>
          <w:szCs w:val="24"/>
        </w:rPr>
        <w:t>，建筑容积率21.7%，建筑密度19.83%，绿化率57%。包括水处理构筑物、泥线构筑物和辅助生产构筑物三部分，建设内容主要包括提升泵站 1 座、高锰酸钾、粉末活性炭间一座、混合絮凝平流沉淀池 1 座、均粒滤料砂滤池 1 座、砂滤池冲洗泵房 1座、清水池 2 座、二级泵房 1 座、综合加药间 1 座、反冲洗废水调节池 1座、反冲洗废水浓缩池 2 座、污泥平衡池 2 座和污泥脱水车间 1 座，管理中心1座，门卫室1座等工程内容。</w:t>
      </w:r>
      <w:r>
        <w:rPr>
          <w:szCs w:val="24"/>
        </w:rPr>
        <w:t>项目主要技术指标见表</w:t>
      </w:r>
      <w:r>
        <w:rPr>
          <w:rFonts w:hint="eastAsia"/>
          <w:szCs w:val="24"/>
        </w:rPr>
        <w:t>1.1-1</w:t>
      </w:r>
      <w:r>
        <w:rPr>
          <w:szCs w:val="24"/>
        </w:rPr>
        <w:t>。</w:t>
      </w:r>
    </w:p>
    <w:p>
      <w:pPr>
        <w:spacing w:line="360" w:lineRule="auto"/>
        <w:ind w:firstLine="480"/>
        <w:rPr>
          <w:rFonts w:hint="eastAsia" w:eastAsia="仿宋_GB2312"/>
          <w:bCs/>
          <w:sz w:val="24"/>
        </w:rPr>
      </w:pPr>
      <w:r>
        <w:rPr>
          <w:rFonts w:hint="eastAsia" w:eastAsia="仿宋_GB2312"/>
          <w:bCs/>
          <w:sz w:val="24"/>
        </w:rPr>
        <w:t xml:space="preserve">表1.1-1                 </w:t>
      </w:r>
      <w:r>
        <w:rPr>
          <w:rFonts w:hint="eastAsia" w:eastAsia="仿宋_GB2312"/>
          <w:b w:val="0"/>
          <w:bCs/>
          <w:sz w:val="24"/>
        </w:rPr>
        <w:t xml:space="preserve"> </w:t>
      </w:r>
      <w:r>
        <w:rPr>
          <w:b w:val="0"/>
          <w:bCs/>
          <w:snapToGrid w:val="0"/>
          <w:kern w:val="0"/>
          <w:sz w:val="24"/>
        </w:rPr>
        <w:t>项目主要经济技术指标</w:t>
      </w:r>
    </w:p>
    <w:tbl>
      <w:tblPr>
        <w:tblStyle w:val="13"/>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3210"/>
        <w:gridCol w:w="1394"/>
        <w:gridCol w:w="1650"/>
        <w:gridCol w:w="95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序号</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sz w:val="21"/>
                <w:szCs w:val="21"/>
              </w:rPr>
            </w:pPr>
            <w:r>
              <w:rPr>
                <w:sz w:val="21"/>
                <w:szCs w:val="21"/>
              </w:rPr>
              <w:t>项目</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sz w:val="21"/>
                <w:szCs w:val="21"/>
              </w:rPr>
              <w:t>单位</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sz w:val="21"/>
                <w:szCs w:val="21"/>
              </w:rPr>
              <w:t>数值</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sz w:val="21"/>
                <w:szCs w:val="21"/>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1</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sz w:val="21"/>
                <w:szCs w:val="21"/>
              </w:rPr>
            </w:pPr>
            <w:r>
              <w:rPr>
                <w:sz w:val="21"/>
                <w:szCs w:val="21"/>
              </w:rPr>
              <w:t>规划总用地</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rFonts w:hint="eastAsia"/>
                <w:sz w:val="21"/>
                <w:szCs w:val="21"/>
              </w:rPr>
              <w:t>h</w:t>
            </w:r>
            <w:r>
              <w:rPr>
                <w:sz w:val="21"/>
                <w:szCs w:val="21"/>
              </w:rPr>
              <w:t>m</w:t>
            </w:r>
            <w:r>
              <w:rPr>
                <w:sz w:val="21"/>
                <w:szCs w:val="21"/>
                <w:vertAlign w:val="superscript"/>
              </w:rPr>
              <w:t>2</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rFonts w:hint="eastAsia"/>
                <w:sz w:val="21"/>
                <w:szCs w:val="21"/>
              </w:rPr>
              <w:t>10.03</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1.1</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sz w:val="21"/>
                <w:szCs w:val="21"/>
              </w:rPr>
            </w:pPr>
            <w:r>
              <w:rPr>
                <w:sz w:val="21"/>
                <w:szCs w:val="21"/>
              </w:rPr>
              <w:t>规划建设用地</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rFonts w:hint="eastAsia"/>
                <w:sz w:val="21"/>
                <w:szCs w:val="21"/>
              </w:rPr>
              <w:t>h</w:t>
            </w:r>
            <w:r>
              <w:rPr>
                <w:sz w:val="21"/>
                <w:szCs w:val="21"/>
              </w:rPr>
              <w:t>m</w:t>
            </w:r>
            <w:r>
              <w:rPr>
                <w:sz w:val="21"/>
                <w:szCs w:val="21"/>
                <w:vertAlign w:val="superscript"/>
              </w:rPr>
              <w:t>2</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rFonts w:hint="eastAsia"/>
                <w:sz w:val="21"/>
                <w:szCs w:val="21"/>
              </w:rPr>
              <w:t>7.49</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1.2</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rFonts w:hint="eastAsia"/>
                <w:sz w:val="21"/>
                <w:szCs w:val="21"/>
              </w:rPr>
            </w:pPr>
            <w:r>
              <w:rPr>
                <w:rFonts w:hint="eastAsia"/>
                <w:sz w:val="21"/>
                <w:szCs w:val="21"/>
              </w:rPr>
              <w:t>预留用地面积</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rFonts w:hint="eastAsia"/>
                <w:sz w:val="21"/>
                <w:szCs w:val="21"/>
              </w:rPr>
              <w:t>h</w:t>
            </w:r>
            <w:r>
              <w:rPr>
                <w:sz w:val="21"/>
                <w:szCs w:val="21"/>
              </w:rPr>
              <w:t>m</w:t>
            </w:r>
            <w:r>
              <w:rPr>
                <w:sz w:val="21"/>
                <w:szCs w:val="21"/>
                <w:vertAlign w:val="superscript"/>
              </w:rPr>
              <w:t>2</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rFonts w:hint="eastAsia"/>
                <w:sz w:val="21"/>
                <w:szCs w:val="21"/>
              </w:rPr>
              <w:t>2.54</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2</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sz w:val="21"/>
                <w:szCs w:val="21"/>
              </w:rPr>
            </w:pPr>
            <w:r>
              <w:rPr>
                <w:sz w:val="21"/>
                <w:szCs w:val="21"/>
              </w:rPr>
              <w:t>总建筑面积</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sz w:val="21"/>
                <w:szCs w:val="21"/>
              </w:rPr>
              <w:t>m</w:t>
            </w:r>
            <w:r>
              <w:rPr>
                <w:sz w:val="21"/>
                <w:szCs w:val="21"/>
                <w:vertAlign w:val="superscript"/>
              </w:rPr>
              <w:t>2</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sz w:val="21"/>
                <w:szCs w:val="21"/>
              </w:rPr>
            </w:pPr>
            <w:r>
              <w:rPr>
                <w:rFonts w:hint="eastAsia"/>
                <w:sz w:val="21"/>
                <w:szCs w:val="21"/>
              </w:rPr>
              <w:t>40300</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3</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sz w:val="21"/>
                <w:szCs w:val="21"/>
              </w:rPr>
            </w:pPr>
            <w:r>
              <w:rPr>
                <w:sz w:val="21"/>
                <w:szCs w:val="21"/>
              </w:rPr>
              <w:t>综合容积率</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sz w:val="21"/>
                <w:szCs w:val="21"/>
              </w:rPr>
              <w:t>%</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rFonts w:hint="eastAsia"/>
                <w:sz w:val="21"/>
                <w:szCs w:val="21"/>
              </w:rPr>
              <w:t>21.7</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4</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sz w:val="21"/>
                <w:szCs w:val="21"/>
              </w:rPr>
            </w:pPr>
            <w:r>
              <w:rPr>
                <w:sz w:val="21"/>
                <w:szCs w:val="21"/>
              </w:rPr>
              <w:t>总建筑密度</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sz w:val="21"/>
                <w:szCs w:val="21"/>
              </w:rPr>
              <w:t>%</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rFonts w:hint="eastAsia"/>
                <w:sz w:val="21"/>
                <w:szCs w:val="21"/>
              </w:rPr>
              <w:t>19.83</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5</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sz w:val="21"/>
                <w:szCs w:val="21"/>
              </w:rPr>
            </w:pPr>
            <w:r>
              <w:rPr>
                <w:sz w:val="21"/>
                <w:szCs w:val="21"/>
              </w:rPr>
              <w:t>绿地率</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sz w:val="21"/>
                <w:szCs w:val="21"/>
              </w:rPr>
              <w:t>%</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rFonts w:hint="eastAsia"/>
                <w:sz w:val="21"/>
                <w:szCs w:val="21"/>
              </w:rPr>
              <w:t>57</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6</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sz w:val="21"/>
                <w:szCs w:val="21"/>
              </w:rPr>
            </w:pPr>
            <w:r>
              <w:rPr>
                <w:sz w:val="21"/>
                <w:szCs w:val="21"/>
              </w:rPr>
              <w:t>机动车泊位数</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sz w:val="21"/>
                <w:szCs w:val="21"/>
              </w:rPr>
              <w:t>个</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sz w:val="21"/>
                <w:szCs w:val="21"/>
              </w:rPr>
            </w:pPr>
            <w:r>
              <w:rPr>
                <w:rFonts w:hint="eastAsia"/>
                <w:sz w:val="21"/>
                <w:szCs w:val="21"/>
              </w:rPr>
              <w:t>540</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0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sz w:val="21"/>
                <w:szCs w:val="21"/>
              </w:rPr>
            </w:pPr>
            <w:r>
              <w:rPr>
                <w:sz w:val="21"/>
                <w:szCs w:val="21"/>
              </w:rPr>
              <w:t>7</w:t>
            </w:r>
          </w:p>
        </w:tc>
        <w:tc>
          <w:tcPr>
            <w:tcW w:w="3210" w:type="dxa"/>
            <w:noWrap w:val="0"/>
            <w:vAlign w:val="center"/>
          </w:tcPr>
          <w:p>
            <w:pPr>
              <w:keepNext w:val="0"/>
              <w:keepLines w:val="0"/>
              <w:pageBreakBefore w:val="0"/>
              <w:widowControl w:val="0"/>
              <w:kinsoku/>
              <w:wordWrap/>
              <w:overflowPunct/>
              <w:topLinePunct w:val="0"/>
              <w:bidi w:val="0"/>
              <w:snapToGrid/>
              <w:spacing w:line="240" w:lineRule="auto"/>
              <w:ind w:firstLine="0" w:firstLineChars="0"/>
              <w:textAlignment w:val="auto"/>
              <w:rPr>
                <w:sz w:val="21"/>
                <w:szCs w:val="21"/>
              </w:rPr>
            </w:pPr>
            <w:r>
              <w:rPr>
                <w:sz w:val="21"/>
                <w:szCs w:val="21"/>
              </w:rPr>
              <w:t>非机动车泊位数</w:t>
            </w:r>
          </w:p>
        </w:tc>
        <w:tc>
          <w:tcPr>
            <w:tcW w:w="1394"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r>
              <w:rPr>
                <w:sz w:val="21"/>
                <w:szCs w:val="21"/>
              </w:rPr>
              <w:t>个</w:t>
            </w:r>
          </w:p>
        </w:tc>
        <w:tc>
          <w:tcPr>
            <w:tcW w:w="1650"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sz w:val="21"/>
                <w:szCs w:val="21"/>
              </w:rPr>
            </w:pPr>
            <w:r>
              <w:rPr>
                <w:rFonts w:hint="eastAsia"/>
                <w:sz w:val="21"/>
                <w:szCs w:val="21"/>
              </w:rPr>
              <w:t>250</w:t>
            </w:r>
          </w:p>
        </w:tc>
        <w:tc>
          <w:tcPr>
            <w:tcW w:w="951" w:type="dxa"/>
            <w:noWrap w:val="0"/>
            <w:vAlign w:val="center"/>
          </w:tcPr>
          <w:p>
            <w:pPr>
              <w:keepNext w:val="0"/>
              <w:keepLines w:val="0"/>
              <w:pageBreakBefore w:val="0"/>
              <w:widowControl w:val="0"/>
              <w:kinsoku/>
              <w:wordWrap/>
              <w:overflowPunct/>
              <w:topLinePunct w:val="0"/>
              <w:bidi w:val="0"/>
              <w:snapToGrid/>
              <w:spacing w:line="240" w:lineRule="auto"/>
              <w:ind w:firstLine="0" w:firstLineChars="0"/>
              <w:jc w:val="center"/>
              <w:textAlignment w:val="auto"/>
              <w:rPr>
                <w:sz w:val="21"/>
                <w:szCs w:val="21"/>
              </w:rPr>
            </w:pPr>
          </w:p>
        </w:tc>
      </w:tr>
    </w:tbl>
    <w:p>
      <w:pPr>
        <w:spacing w:line="360" w:lineRule="auto"/>
        <w:ind w:firstLine="480"/>
        <w:rPr>
          <w:rFonts w:hint="eastAsia" w:eastAsia="仿宋_GB2312"/>
          <w:bCs/>
          <w:sz w:val="24"/>
        </w:rPr>
      </w:pPr>
    </w:p>
    <w:p>
      <w:pPr>
        <w:pStyle w:val="24"/>
        <w:numPr>
          <w:ilvl w:val="0"/>
          <w:numId w:val="1"/>
        </w:numPr>
        <w:outlineLvl w:val="3"/>
      </w:pPr>
      <w:r>
        <w:t>项目投资</w:t>
      </w:r>
    </w:p>
    <w:p>
      <w:pPr>
        <w:pStyle w:val="24"/>
        <w:outlineLvl w:val="3"/>
        <w:rPr>
          <w:rFonts w:hint="eastAsia"/>
          <w:bCs/>
          <w:sz w:val="24"/>
          <w:lang w:eastAsia="zh-CN"/>
        </w:rPr>
      </w:pPr>
      <w:r>
        <w:rPr>
          <w:rFonts w:hint="eastAsia"/>
          <w:bCs/>
          <w:sz w:val="24"/>
          <w:lang w:eastAsia="zh-CN"/>
        </w:rPr>
        <w:t>本项目总投资43201.85万元，其中土建投资17773.82万元，建设资金的 70％由国内银行贷款，30％企业自有。</w:t>
      </w:r>
    </w:p>
    <w:p>
      <w:pPr>
        <w:pStyle w:val="24"/>
        <w:outlineLvl w:val="3"/>
        <w:rPr>
          <w:rFonts w:hint="eastAsia"/>
          <w:lang w:eastAsia="zh-CN"/>
        </w:rPr>
      </w:pPr>
      <w:r>
        <w:rPr>
          <w:rFonts w:hint="eastAsia"/>
          <w:lang w:eastAsia="zh-CN"/>
        </w:rPr>
        <w:t>4、项目组成及布置</w:t>
      </w:r>
    </w:p>
    <w:p>
      <w:pPr>
        <w:spacing w:line="360" w:lineRule="auto"/>
        <w:ind w:firstLine="480" w:firstLineChars="200"/>
        <w:rPr>
          <w:bCs/>
          <w:sz w:val="24"/>
          <w:szCs w:val="24"/>
        </w:rPr>
      </w:pPr>
      <w:r>
        <w:rPr>
          <w:rFonts w:hint="eastAsia"/>
          <w:bCs/>
          <w:sz w:val="24"/>
          <w:szCs w:val="24"/>
        </w:rPr>
        <w:t>根据生产区场地情况以及主要设施情况，水厂主要分为</w:t>
      </w:r>
      <w:r>
        <w:rPr>
          <w:bCs/>
          <w:sz w:val="24"/>
          <w:szCs w:val="24"/>
        </w:rPr>
        <w:t>4</w:t>
      </w:r>
      <w:r>
        <w:rPr>
          <w:rFonts w:hint="eastAsia"/>
          <w:bCs/>
          <w:sz w:val="24"/>
          <w:szCs w:val="24"/>
        </w:rPr>
        <w:t>个区域。</w:t>
      </w:r>
      <w:r>
        <w:rPr>
          <w:bCs/>
          <w:sz w:val="24"/>
          <w:szCs w:val="24"/>
        </w:rPr>
        <w:t xml:space="preserve"> </w:t>
      </w:r>
    </w:p>
    <w:p>
      <w:pPr>
        <w:spacing w:line="360" w:lineRule="auto"/>
        <w:ind w:firstLine="480" w:firstLineChars="200"/>
        <w:rPr>
          <w:bCs/>
          <w:sz w:val="24"/>
          <w:szCs w:val="24"/>
        </w:rPr>
      </w:pPr>
      <w:r>
        <w:rPr>
          <w:bCs/>
          <w:sz w:val="24"/>
          <w:szCs w:val="24"/>
        </w:rPr>
        <w:t xml:space="preserve">(1) </w:t>
      </w:r>
      <w:r>
        <w:rPr>
          <w:rFonts w:hint="eastAsia"/>
          <w:bCs/>
          <w:sz w:val="24"/>
          <w:szCs w:val="24"/>
        </w:rPr>
        <w:t>南面是入口区，主要是水厂主入口和管理中心。入口区紧邻东海大道布置，方便出入管理。</w:t>
      </w:r>
      <w:r>
        <w:rPr>
          <w:bCs/>
          <w:sz w:val="24"/>
          <w:szCs w:val="24"/>
        </w:rPr>
        <w:t xml:space="preserve"> </w:t>
      </w:r>
    </w:p>
    <w:p>
      <w:pPr>
        <w:spacing w:line="360" w:lineRule="auto"/>
        <w:ind w:firstLine="480" w:firstLineChars="200"/>
        <w:rPr>
          <w:bCs/>
          <w:sz w:val="24"/>
          <w:szCs w:val="24"/>
        </w:rPr>
      </w:pPr>
      <w:r>
        <w:rPr>
          <w:bCs/>
          <w:sz w:val="24"/>
          <w:szCs w:val="24"/>
        </w:rPr>
        <w:t xml:space="preserve">(2) </w:t>
      </w:r>
      <w:r>
        <w:rPr>
          <w:rFonts w:hint="eastAsia"/>
          <w:bCs/>
          <w:sz w:val="24"/>
          <w:szCs w:val="24"/>
        </w:rPr>
        <w:t>中东部是生产区，混合反应沉淀池、砂滤池、清水池等生产构筑物向由北向南依次布置。一期设施在东部，二期设施预留在中部；</w:t>
      </w:r>
      <w:r>
        <w:rPr>
          <w:bCs/>
          <w:sz w:val="24"/>
          <w:szCs w:val="24"/>
        </w:rPr>
        <w:t xml:space="preserve"> </w:t>
      </w:r>
    </w:p>
    <w:p>
      <w:pPr>
        <w:spacing w:line="360" w:lineRule="auto"/>
        <w:ind w:firstLine="480" w:firstLineChars="200"/>
        <w:rPr>
          <w:bCs/>
          <w:sz w:val="24"/>
          <w:szCs w:val="24"/>
        </w:rPr>
      </w:pPr>
      <w:r>
        <w:rPr>
          <w:bCs/>
          <w:sz w:val="24"/>
          <w:szCs w:val="24"/>
        </w:rPr>
        <w:t xml:space="preserve">(3) </w:t>
      </w:r>
      <w:r>
        <w:rPr>
          <w:rFonts w:hint="eastAsia"/>
          <w:bCs/>
          <w:sz w:val="24"/>
          <w:szCs w:val="24"/>
        </w:rPr>
        <w:t>东面是辅助设施区，布置综合加药间、排泥水处理设施等。</w:t>
      </w:r>
      <w:r>
        <w:rPr>
          <w:bCs/>
          <w:sz w:val="24"/>
          <w:szCs w:val="24"/>
        </w:rPr>
        <w:t xml:space="preserve"> </w:t>
      </w:r>
    </w:p>
    <w:p>
      <w:pPr>
        <w:spacing w:line="360" w:lineRule="auto"/>
        <w:ind w:firstLine="480" w:firstLineChars="200"/>
        <w:rPr>
          <w:bCs/>
          <w:sz w:val="24"/>
          <w:szCs w:val="24"/>
        </w:rPr>
      </w:pPr>
      <w:r>
        <w:rPr>
          <w:bCs/>
          <w:sz w:val="24"/>
          <w:szCs w:val="24"/>
        </w:rPr>
        <w:t xml:space="preserve">(4) </w:t>
      </w:r>
      <w:r>
        <w:rPr>
          <w:rFonts w:hint="eastAsia"/>
          <w:bCs/>
          <w:sz w:val="24"/>
          <w:szCs w:val="24"/>
        </w:rPr>
        <w:t>北面为生物预处理预留地，滤池和清水池间预留深度处理用地。</w:t>
      </w:r>
      <w:r>
        <w:rPr>
          <w:bCs/>
          <w:sz w:val="24"/>
          <w:szCs w:val="24"/>
        </w:rPr>
        <w:t xml:space="preserve"> </w:t>
      </w:r>
    </w:p>
    <w:p>
      <w:pPr>
        <w:pStyle w:val="27"/>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一</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建筑物布置</w:t>
      </w:r>
    </w:p>
    <w:p>
      <w:pPr>
        <w:spacing w:line="360" w:lineRule="auto"/>
        <w:ind w:firstLine="480" w:firstLineChars="200"/>
        <w:rPr>
          <w:sz w:val="24"/>
          <w:szCs w:val="24"/>
        </w:rPr>
      </w:pPr>
      <w:r>
        <w:rPr>
          <w:bCs/>
          <w:sz w:val="24"/>
          <w:szCs w:val="24"/>
        </w:rPr>
        <w:t>该区</w:t>
      </w:r>
      <w:r>
        <w:rPr>
          <w:sz w:val="24"/>
          <w:szCs w:val="24"/>
        </w:rPr>
        <w:t>占地面积为</w:t>
      </w:r>
      <w:r>
        <w:rPr>
          <w:rFonts w:hint="eastAsia"/>
          <w:sz w:val="24"/>
          <w:szCs w:val="24"/>
        </w:rPr>
        <w:t>1.96</w:t>
      </w:r>
      <w:r>
        <w:rPr>
          <w:sz w:val="24"/>
          <w:szCs w:val="24"/>
        </w:rPr>
        <w:t>hm</w:t>
      </w:r>
      <w:r>
        <w:rPr>
          <w:sz w:val="24"/>
          <w:szCs w:val="24"/>
          <w:vertAlign w:val="superscript"/>
        </w:rPr>
        <w:t>2</w:t>
      </w:r>
      <w:r>
        <w:rPr>
          <w:sz w:val="24"/>
          <w:szCs w:val="24"/>
        </w:rPr>
        <w:t>，</w:t>
      </w:r>
      <w:r>
        <w:rPr>
          <w:bCs/>
          <w:sz w:val="24"/>
          <w:szCs w:val="24"/>
        </w:rPr>
        <w:t>建设内容包括</w:t>
      </w:r>
      <w:r>
        <w:rPr>
          <w:sz w:val="24"/>
          <w:szCs w:val="24"/>
        </w:rPr>
        <w:t>生产构筑物包括水处理构筑物、泥线构筑物</w:t>
      </w:r>
      <w:r>
        <w:rPr>
          <w:rFonts w:hint="eastAsia"/>
          <w:sz w:val="24"/>
          <w:szCs w:val="24"/>
        </w:rPr>
        <w:t>和</w:t>
      </w:r>
      <w:r>
        <w:rPr>
          <w:sz w:val="24"/>
          <w:szCs w:val="24"/>
        </w:rPr>
        <w:t>辅助生产构筑物三部分</w:t>
      </w:r>
      <w:r>
        <w:rPr>
          <w:rFonts w:hint="eastAsia"/>
          <w:sz w:val="24"/>
          <w:szCs w:val="24"/>
        </w:rPr>
        <w:t>。主要包括提升泵站 1 座、高锰酸钾、粉末活性炭间一座、混合絮凝平流沉淀池 1 座、均粒滤料砂滤池 1 座、砂滤池冲洗泵房 1座、清水池 2 座、二级泵房 1 座、综合加药间 1 座、反冲洗废水调节池 1座、反冲洗废水浓缩池 2 座、污泥平衡池 2 座和污泥脱水车间 1 座，综合管理楼1座，门卫室1座等工程内容。除综合管理楼为2层办公楼外，其它厂房及附属设施均为1层，建筑物高度在3.85</w:t>
      </w:r>
      <w:r>
        <w:rPr>
          <w:sz w:val="24"/>
          <w:szCs w:val="24"/>
        </w:rPr>
        <w:t>~</w:t>
      </w:r>
      <w:r>
        <w:rPr>
          <w:rFonts w:hint="eastAsia"/>
          <w:sz w:val="24"/>
          <w:szCs w:val="24"/>
        </w:rPr>
        <w:t>12.2m之间。</w:t>
      </w:r>
    </w:p>
    <w:p>
      <w:pPr>
        <w:spacing w:line="360" w:lineRule="auto"/>
        <w:ind w:firstLine="480" w:firstLineChars="200"/>
        <w:rPr>
          <w:sz w:val="24"/>
          <w:szCs w:val="24"/>
        </w:rPr>
      </w:pPr>
      <w:r>
        <w:rPr>
          <w:sz w:val="24"/>
          <w:szCs w:val="24"/>
        </w:rPr>
        <w:t>水处理构筑物位于</w:t>
      </w:r>
      <w:r>
        <w:rPr>
          <w:rFonts w:hint="eastAsia" w:hAnsi="宋体"/>
          <w:sz w:val="24"/>
          <w:szCs w:val="24"/>
        </w:rPr>
        <w:t>红线范围内东部，从北向南依次布置，包括</w:t>
      </w:r>
      <w:r>
        <w:rPr>
          <w:rFonts w:hint="eastAsia"/>
          <w:sz w:val="24"/>
          <w:szCs w:val="24"/>
        </w:rPr>
        <w:t>进水泵房、机械混合池、絮凝池、平流沉淀池、V型滤池、清水池、配水泵房</w:t>
      </w:r>
      <w:r>
        <w:rPr>
          <w:sz w:val="24"/>
          <w:szCs w:val="24"/>
        </w:rPr>
        <w:t>。</w:t>
      </w:r>
    </w:p>
    <w:p>
      <w:pPr>
        <w:spacing w:line="360" w:lineRule="auto"/>
        <w:ind w:firstLine="480" w:firstLineChars="200"/>
        <w:rPr>
          <w:rFonts w:hint="eastAsia"/>
          <w:sz w:val="24"/>
          <w:szCs w:val="24"/>
        </w:rPr>
      </w:pPr>
      <w:r>
        <w:rPr>
          <w:sz w:val="24"/>
          <w:szCs w:val="24"/>
        </w:rPr>
        <w:t>泥线构筑物</w:t>
      </w:r>
      <w:r>
        <w:rPr>
          <w:rFonts w:hint="eastAsia" w:hAnsi="宋体"/>
          <w:sz w:val="24"/>
          <w:szCs w:val="24"/>
        </w:rPr>
        <w:t>设在水厂红线区域的西侧中部，包括</w:t>
      </w:r>
      <w:r>
        <w:rPr>
          <w:rFonts w:hint="eastAsia"/>
          <w:sz w:val="24"/>
          <w:szCs w:val="24"/>
        </w:rPr>
        <w:t>回流水池及泵房、排泥池、污泥提升泵房、集水池、浓缩池、脱水机房等。</w:t>
      </w:r>
    </w:p>
    <w:p>
      <w:pPr>
        <w:spacing w:line="360" w:lineRule="auto"/>
        <w:ind w:firstLine="480" w:firstLineChars="200"/>
        <w:rPr>
          <w:sz w:val="24"/>
          <w:szCs w:val="24"/>
        </w:rPr>
      </w:pPr>
      <w:r>
        <w:rPr>
          <w:rFonts w:hint="eastAsia" w:hAnsi="宋体"/>
          <w:sz w:val="24"/>
          <w:szCs w:val="24"/>
        </w:rPr>
        <w:t>辅助生产构筑物</w:t>
      </w:r>
      <w:r>
        <w:rPr>
          <w:rFonts w:hint="eastAsia"/>
          <w:sz w:val="24"/>
          <w:szCs w:val="24"/>
        </w:rPr>
        <w:t>加药间（加混凝剂、加碱剂）</w:t>
      </w:r>
      <w:r>
        <w:rPr>
          <w:sz w:val="24"/>
          <w:szCs w:val="24"/>
        </w:rPr>
        <w:t>、</w:t>
      </w:r>
      <w:r>
        <w:rPr>
          <w:rFonts w:hint="eastAsia"/>
          <w:sz w:val="24"/>
          <w:szCs w:val="24"/>
        </w:rPr>
        <w:t>高锰酸钾及粉炭投加间、次氯酸钠投加间</w:t>
      </w:r>
      <w:r>
        <w:rPr>
          <w:rFonts w:hint="eastAsia" w:hAnsi="宋体"/>
          <w:sz w:val="24"/>
          <w:szCs w:val="24"/>
        </w:rPr>
        <w:t>位于水厂红线区域的西北侧；综合楼及门卫位于水厂红线区域的西南侧。</w:t>
      </w:r>
    </w:p>
    <w:p>
      <w:pPr>
        <w:spacing w:line="360" w:lineRule="auto"/>
        <w:ind w:firstLine="480" w:firstLineChars="200"/>
        <w:rPr>
          <w:rFonts w:hint="eastAsia"/>
          <w:sz w:val="24"/>
          <w:szCs w:val="24"/>
        </w:rPr>
      </w:pPr>
      <w:r>
        <w:rPr>
          <w:rFonts w:hint="eastAsia"/>
          <w:sz w:val="24"/>
          <w:szCs w:val="24"/>
        </w:rPr>
        <w:t>（2）基坑设计</w:t>
      </w:r>
    </w:p>
    <w:p>
      <w:pPr>
        <w:spacing w:line="360" w:lineRule="auto"/>
        <w:ind w:firstLine="480" w:firstLineChars="200"/>
        <w:rPr>
          <w:rFonts w:hint="eastAsia" w:hAnsi="宋体"/>
          <w:sz w:val="24"/>
          <w:szCs w:val="24"/>
        </w:rPr>
      </w:pPr>
      <w:r>
        <w:rPr>
          <w:rFonts w:hint="eastAsia"/>
          <w:sz w:val="24"/>
          <w:szCs w:val="24"/>
        </w:rPr>
        <w:t>根据主体设计，厂区内进水提升泵房吸水井、进水提升泵房、折板絮凝、平流沉淀池</w:t>
      </w:r>
      <w:r>
        <w:rPr>
          <w:sz w:val="24"/>
          <w:szCs w:val="24"/>
        </w:rPr>
        <w:t xml:space="preserve"> </w:t>
      </w:r>
      <w:r>
        <w:rPr>
          <w:rFonts w:hint="eastAsia"/>
          <w:sz w:val="24"/>
          <w:szCs w:val="24"/>
        </w:rPr>
        <w:t>接触池、清水池、</w:t>
      </w:r>
      <w:r>
        <w:rPr>
          <w:sz w:val="24"/>
          <w:szCs w:val="24"/>
        </w:rPr>
        <w:t>V</w:t>
      </w:r>
      <w:r>
        <w:rPr>
          <w:rFonts w:hint="eastAsia"/>
          <w:sz w:val="24"/>
          <w:szCs w:val="24"/>
        </w:rPr>
        <w:t>型滤池、配水泵房吸水井、配水泵房、回流水池、排泥池、浓缩池需开挖基坑，基坑面积为</w:t>
      </w:r>
      <w:r>
        <w:rPr>
          <w:rFonts w:hint="eastAsia" w:hAnsi="宋体"/>
          <w:sz w:val="24"/>
          <w:szCs w:val="24"/>
        </w:rPr>
        <w:t>1.78hm</w:t>
      </w:r>
      <w:r>
        <w:rPr>
          <w:rFonts w:hint="eastAsia" w:hAnsi="宋体"/>
          <w:sz w:val="24"/>
          <w:szCs w:val="24"/>
          <w:vertAlign w:val="superscript"/>
        </w:rPr>
        <w:t>2</w:t>
      </w:r>
      <w:r>
        <w:rPr>
          <w:rFonts w:hint="eastAsia" w:hAnsi="宋体"/>
          <w:sz w:val="24"/>
          <w:szCs w:val="24"/>
        </w:rPr>
        <w:t>，基坑深度在0.85-11.6m之间，</w:t>
      </w:r>
      <w:r>
        <w:rPr>
          <w:rFonts w:hint="eastAsia"/>
          <w:sz w:val="24"/>
          <w:szCs w:val="24"/>
        </w:rPr>
        <w:t>具有放坡条件的场地采用1:1或1:1.5放坡+土钉墙支护；受限的场地采用拉森Ⅳw钢板桩+支撑支护方式。</w:t>
      </w:r>
    </w:p>
    <w:p>
      <w:pPr>
        <w:pStyle w:val="27"/>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二</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道路及管线布置</w:t>
      </w:r>
    </w:p>
    <w:p>
      <w:pPr>
        <w:spacing w:line="360" w:lineRule="auto"/>
        <w:ind w:firstLine="480" w:firstLineChars="200"/>
        <w:rPr>
          <w:rFonts w:hint="eastAsia"/>
          <w:sz w:val="24"/>
          <w:szCs w:val="24"/>
        </w:rPr>
      </w:pPr>
      <w:r>
        <w:rPr>
          <w:rFonts w:hint="eastAsia"/>
          <w:sz w:val="24"/>
          <w:szCs w:val="24"/>
        </w:rPr>
        <w:t>该区域包括厂区内道路及两侧管线、停车场、厂区入口等组成，本区占地面积2.31hm</w:t>
      </w:r>
      <w:r>
        <w:rPr>
          <w:rFonts w:hint="eastAsia"/>
          <w:sz w:val="24"/>
          <w:szCs w:val="24"/>
          <w:vertAlign w:val="superscript"/>
        </w:rPr>
        <w:t>2</w:t>
      </w:r>
      <w:r>
        <w:rPr>
          <w:rFonts w:hint="eastAsia"/>
          <w:sz w:val="24"/>
          <w:szCs w:val="24"/>
        </w:rPr>
        <w:t>。</w:t>
      </w:r>
    </w:p>
    <w:p>
      <w:pPr>
        <w:spacing w:line="360" w:lineRule="auto"/>
        <w:ind w:firstLine="480" w:firstLineChars="200"/>
        <w:rPr>
          <w:rFonts w:hint="eastAsia"/>
          <w:sz w:val="24"/>
          <w:szCs w:val="24"/>
        </w:rPr>
      </w:pPr>
      <w:r>
        <w:rPr>
          <w:rFonts w:hint="eastAsia"/>
          <w:sz w:val="24"/>
          <w:szCs w:val="24"/>
        </w:rPr>
        <w:t>（1）道路及两侧管线</w:t>
      </w:r>
    </w:p>
    <w:p>
      <w:pPr>
        <w:spacing w:line="360" w:lineRule="auto"/>
        <w:ind w:firstLine="480" w:firstLineChars="200"/>
        <w:rPr>
          <w:rFonts w:hint="eastAsia"/>
          <w:sz w:val="24"/>
          <w:szCs w:val="24"/>
        </w:rPr>
      </w:pPr>
      <w:r>
        <w:rPr>
          <w:rFonts w:hint="eastAsia"/>
          <w:sz w:val="24"/>
          <w:szCs w:val="24"/>
        </w:rPr>
        <w:t>水厂内各构筑物之间通过厂区道路相连，厂区内共有</w:t>
      </w:r>
      <w:r>
        <w:rPr>
          <w:sz w:val="24"/>
          <w:szCs w:val="24"/>
        </w:rPr>
        <w:t xml:space="preserve"> 19 </w:t>
      </w:r>
      <w:r>
        <w:rPr>
          <w:rFonts w:hint="eastAsia"/>
          <w:sz w:val="24"/>
          <w:szCs w:val="24"/>
        </w:rPr>
        <w:t>条道路，道路宽度分10m，8m,6m，4m布设，道路总长为</w:t>
      </w:r>
      <w:r>
        <w:rPr>
          <w:sz w:val="24"/>
          <w:szCs w:val="24"/>
        </w:rPr>
        <w:t>27</w:t>
      </w:r>
      <w:r>
        <w:rPr>
          <w:rFonts w:hint="eastAsia"/>
          <w:sz w:val="24"/>
          <w:szCs w:val="24"/>
        </w:rPr>
        <w:t>80</w:t>
      </w:r>
      <w:r>
        <w:rPr>
          <w:sz w:val="24"/>
          <w:szCs w:val="24"/>
        </w:rPr>
        <w:t>m</w:t>
      </w:r>
      <w:r>
        <w:rPr>
          <w:rFonts w:hint="eastAsia"/>
          <w:sz w:val="24"/>
          <w:szCs w:val="24"/>
        </w:rPr>
        <w:t>，占地面积1.84hm</w:t>
      </w:r>
      <w:r>
        <w:rPr>
          <w:rFonts w:hint="eastAsia"/>
          <w:sz w:val="24"/>
          <w:szCs w:val="24"/>
          <w:vertAlign w:val="superscript"/>
        </w:rPr>
        <w:t>2</w:t>
      </w:r>
      <w:r>
        <w:rPr>
          <w:rFonts w:hint="eastAsia"/>
          <w:sz w:val="24"/>
          <w:szCs w:val="24"/>
        </w:rPr>
        <w:t>，道路定线均为直线，均不设置加宽及超高。厂区道路供厂内巡视、检修、污泥运输使用，厂区每日交通量为3 次的20 吨污泥运输车及日常工作人员使用的小型车辆。厂内道路计算行车速度为15km/h，路口转弯缘石半径一般采用6m。</w:t>
      </w:r>
    </w:p>
    <w:p>
      <w:pPr>
        <w:spacing w:line="360" w:lineRule="auto"/>
        <w:ind w:firstLine="480" w:firstLineChars="200"/>
        <w:rPr>
          <w:rFonts w:hint="eastAsia"/>
          <w:sz w:val="24"/>
          <w:szCs w:val="24"/>
        </w:rPr>
      </w:pPr>
      <w:r>
        <w:rPr>
          <w:rFonts w:hint="eastAsia"/>
          <w:sz w:val="24"/>
          <w:szCs w:val="24"/>
        </w:rPr>
        <w:t>（2）停车场及广场</w:t>
      </w:r>
    </w:p>
    <w:p>
      <w:pPr>
        <w:spacing w:line="360" w:lineRule="auto"/>
        <w:ind w:firstLine="480" w:firstLineChars="200"/>
        <w:rPr>
          <w:sz w:val="24"/>
          <w:szCs w:val="24"/>
        </w:rPr>
      </w:pPr>
      <w:r>
        <w:rPr>
          <w:rFonts w:hint="eastAsia"/>
          <w:sz w:val="24"/>
          <w:szCs w:val="24"/>
        </w:rPr>
        <w:t>本项目综合楼南侧为楼前广场，设置有机动车、非机动停车位，供日常工作人员使用的小型车辆和非机动车进出及停放</w:t>
      </w:r>
      <w:r>
        <w:rPr>
          <w:sz w:val="24"/>
          <w:szCs w:val="24"/>
        </w:rPr>
        <w:t>等</w:t>
      </w:r>
      <w:r>
        <w:rPr>
          <w:rFonts w:hint="eastAsia"/>
          <w:sz w:val="24"/>
          <w:szCs w:val="24"/>
        </w:rPr>
        <w:t>，停车场及广场占地面积0.46 hm</w:t>
      </w:r>
      <w:r>
        <w:rPr>
          <w:rFonts w:hint="eastAsia"/>
          <w:sz w:val="24"/>
          <w:szCs w:val="24"/>
          <w:vertAlign w:val="superscript"/>
        </w:rPr>
        <w:t>2</w:t>
      </w:r>
      <w:r>
        <w:rPr>
          <w:rFonts w:hint="eastAsia"/>
          <w:sz w:val="24"/>
          <w:szCs w:val="24"/>
        </w:rPr>
        <w:t>。</w:t>
      </w:r>
    </w:p>
    <w:p>
      <w:pPr>
        <w:spacing w:line="360" w:lineRule="auto"/>
        <w:ind w:firstLine="480" w:firstLineChars="200"/>
        <w:rPr>
          <w:rFonts w:hint="eastAsia"/>
          <w:sz w:val="24"/>
          <w:szCs w:val="24"/>
        </w:rPr>
      </w:pPr>
      <w:r>
        <w:rPr>
          <w:rFonts w:hint="eastAsia"/>
          <w:sz w:val="24"/>
          <w:szCs w:val="24"/>
        </w:rPr>
        <w:t>（2）厂区入口</w:t>
      </w:r>
    </w:p>
    <w:p>
      <w:pPr>
        <w:spacing w:line="360" w:lineRule="auto"/>
        <w:ind w:firstLine="480" w:firstLineChars="200"/>
        <w:rPr>
          <w:rFonts w:hint="eastAsia"/>
          <w:sz w:val="24"/>
          <w:szCs w:val="24"/>
        </w:rPr>
      </w:pPr>
      <w:r>
        <w:rPr>
          <w:rFonts w:hint="eastAsia"/>
          <w:sz w:val="24"/>
          <w:szCs w:val="24"/>
        </w:rPr>
        <w:t>厂区内设大门两座，南侧中部红线一座，设传达室一座。东南侧红线一座，起到消防及运输的作用。大门主出入口宽10m。</w:t>
      </w:r>
    </w:p>
    <w:p>
      <w:pPr>
        <w:pStyle w:val="27"/>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三</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绿化布置</w:t>
      </w:r>
    </w:p>
    <w:p>
      <w:pPr>
        <w:spacing w:line="360" w:lineRule="auto"/>
        <w:ind w:firstLine="480" w:firstLineChars="200"/>
        <w:rPr>
          <w:sz w:val="24"/>
          <w:szCs w:val="24"/>
        </w:rPr>
      </w:pPr>
      <w:r>
        <w:rPr>
          <w:rFonts w:hint="eastAsia"/>
          <w:sz w:val="24"/>
          <w:szCs w:val="24"/>
        </w:rPr>
        <w:t>厂区</w:t>
      </w:r>
      <w:r>
        <w:rPr>
          <w:sz w:val="24"/>
          <w:szCs w:val="24"/>
        </w:rPr>
        <w:t>绿化面积共</w:t>
      </w:r>
      <w:r>
        <w:rPr>
          <w:rFonts w:hint="eastAsia"/>
          <w:sz w:val="24"/>
          <w:szCs w:val="24"/>
        </w:rPr>
        <w:t>5.76</w:t>
      </w:r>
      <w:r>
        <w:rPr>
          <w:sz w:val="24"/>
          <w:szCs w:val="24"/>
        </w:rPr>
        <w:t>hm</w:t>
      </w:r>
      <w:r>
        <w:rPr>
          <w:sz w:val="24"/>
          <w:szCs w:val="24"/>
          <w:vertAlign w:val="superscript"/>
        </w:rPr>
        <w:t>2</w:t>
      </w:r>
      <w:r>
        <w:rPr>
          <w:sz w:val="24"/>
          <w:szCs w:val="24"/>
        </w:rPr>
        <w:t>，包括</w:t>
      </w:r>
      <w:r>
        <w:rPr>
          <w:rFonts w:hint="eastAsia"/>
          <w:sz w:val="24"/>
          <w:szCs w:val="24"/>
        </w:rPr>
        <w:t>区内一期绿化和二期预留用地。一期</w:t>
      </w:r>
      <w:r>
        <w:rPr>
          <w:sz w:val="24"/>
          <w:szCs w:val="24"/>
        </w:rPr>
        <w:t>主要的建设内容</w:t>
      </w:r>
      <w:r>
        <w:rPr>
          <w:rFonts w:hint="eastAsia"/>
          <w:sz w:val="24"/>
          <w:szCs w:val="24"/>
        </w:rPr>
        <w:t>为园林绿化，包括建筑旁绿地、公共绿化及道路绿化，绿化面积3.22</w:t>
      </w:r>
      <w:r>
        <w:rPr>
          <w:sz w:val="24"/>
          <w:szCs w:val="24"/>
        </w:rPr>
        <w:t xml:space="preserve"> hm</w:t>
      </w:r>
      <w:r>
        <w:rPr>
          <w:sz w:val="24"/>
          <w:szCs w:val="24"/>
          <w:vertAlign w:val="superscript"/>
        </w:rPr>
        <w:t>2</w:t>
      </w:r>
      <w:r>
        <w:rPr>
          <w:rFonts w:hint="eastAsia"/>
          <w:sz w:val="24"/>
          <w:szCs w:val="24"/>
        </w:rPr>
        <w:t>，</w:t>
      </w:r>
      <w:r>
        <w:rPr>
          <w:sz w:val="24"/>
          <w:szCs w:val="24"/>
        </w:rPr>
        <w:t>二期预留用地</w:t>
      </w:r>
      <w:r>
        <w:rPr>
          <w:rFonts w:hint="eastAsia"/>
          <w:sz w:val="24"/>
          <w:szCs w:val="24"/>
        </w:rPr>
        <w:t>占地面积2.54</w:t>
      </w:r>
      <w:r>
        <w:rPr>
          <w:sz w:val="24"/>
          <w:szCs w:val="24"/>
        </w:rPr>
        <w:t xml:space="preserve"> hm</w:t>
      </w:r>
      <w:r>
        <w:rPr>
          <w:sz w:val="24"/>
          <w:szCs w:val="24"/>
          <w:vertAlign w:val="superscript"/>
        </w:rPr>
        <w:t>2</w:t>
      </w:r>
      <w:r>
        <w:rPr>
          <w:rFonts w:hint="eastAsia"/>
          <w:sz w:val="24"/>
          <w:szCs w:val="24"/>
        </w:rPr>
        <w:t>，本次开发对其统一进行场地平整，并绿化为草坪。</w:t>
      </w:r>
    </w:p>
    <w:p>
      <w:pPr>
        <w:spacing w:line="360" w:lineRule="auto"/>
        <w:ind w:firstLine="480" w:firstLineChars="200"/>
        <w:rPr>
          <w:sz w:val="24"/>
          <w:szCs w:val="24"/>
        </w:rPr>
      </w:pPr>
      <w:r>
        <w:rPr>
          <w:sz w:val="24"/>
          <w:szCs w:val="24"/>
        </w:rPr>
        <w:t>本工程绿化设计的主要内容为水厂区的绿化布置及景观设计。根据各项休息服务的配套设施，以及道路、停车场、入口处的合理安排，整个厂区的绿化布置主要分为两种：一种是自然式布置，主要是从入口至管理中心的厂前区地块范围内</w:t>
      </w:r>
      <w:r>
        <w:rPr>
          <w:rFonts w:hint="eastAsia"/>
          <w:sz w:val="24"/>
          <w:szCs w:val="24"/>
        </w:rPr>
        <w:t>；</w:t>
      </w:r>
      <w:r>
        <w:rPr>
          <w:sz w:val="24"/>
          <w:szCs w:val="24"/>
        </w:rPr>
        <w:t>另一种是沿道路规则式的布局。</w:t>
      </w:r>
    </w:p>
    <w:p>
      <w:pPr>
        <w:spacing w:line="360" w:lineRule="auto"/>
        <w:ind w:firstLine="480" w:firstLineChars="200"/>
        <w:rPr>
          <w:sz w:val="24"/>
          <w:szCs w:val="24"/>
        </w:rPr>
      </w:pPr>
      <w:r>
        <w:rPr>
          <w:sz w:val="24"/>
          <w:szCs w:val="24"/>
        </w:rPr>
        <w:t>自然式布置中运用各种植物本身的形态、色彩特点等营造出不同的氛围，如院落内几棵棕榈，利用了棕榈的造型独特和四季常绿的优势，使得庭院绿化活泼、冬季又不会缺乏生趣。结合边上绿地中种植的桂花、紫薇，既有色彩上的对比，又突出不同季节的不同变化。自然式布置同时也包括竹类的运用，在综合楼的小院落里种植的竹子，一是使植物造景富有变化，增添情趣，二是具有障景的作用。运用高大乔木进行绿化造景的同时还采用了灌木修剪成绿篱进行绿地边缘的围合，在自然中寻</w:t>
      </w:r>
      <w:r>
        <w:rPr>
          <w:rFonts w:hint="eastAsia"/>
          <w:sz w:val="24"/>
          <w:szCs w:val="24"/>
        </w:rPr>
        <w:t>求统一感和整体感。</w:t>
      </w:r>
    </w:p>
    <w:p>
      <w:pPr>
        <w:spacing w:line="360" w:lineRule="auto"/>
        <w:ind w:firstLine="480" w:firstLineChars="200"/>
        <w:rPr>
          <w:rFonts w:hint="eastAsia"/>
          <w:sz w:val="24"/>
          <w:szCs w:val="24"/>
        </w:rPr>
      </w:pPr>
      <w:r>
        <w:rPr>
          <w:rFonts w:hint="eastAsia"/>
          <w:sz w:val="24"/>
          <w:szCs w:val="24"/>
        </w:rPr>
        <w:t>规则式布置主要安排在狭长的围墙道路侧，由树木的高低排列分成</w:t>
      </w:r>
      <w:r>
        <w:rPr>
          <w:sz w:val="24"/>
          <w:szCs w:val="24"/>
        </w:rPr>
        <w:t>不同的层次，乔灌搭配合理，在平面布置上也采取一定的曲线变化，规则式的布局不显得生硬。地被植物及草花采用色彩简洁、明快的种类，增添一定的观赏性的同时又不能显得过分耀眼。</w:t>
      </w:r>
    </w:p>
    <w:p>
      <w:pPr>
        <w:pStyle w:val="27"/>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四</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管道设计</w:t>
      </w:r>
    </w:p>
    <w:p>
      <w:pPr>
        <w:spacing w:line="360" w:lineRule="auto"/>
        <w:ind w:firstLine="480" w:firstLineChars="200"/>
        <w:rPr>
          <w:rFonts w:hint="eastAsia"/>
          <w:sz w:val="24"/>
          <w:szCs w:val="24"/>
        </w:rPr>
      </w:pPr>
      <w:r>
        <w:rPr>
          <w:rFonts w:hint="eastAsia"/>
          <w:sz w:val="24"/>
          <w:szCs w:val="24"/>
        </w:rPr>
        <w:t>（1）原水进水</w:t>
      </w:r>
      <w:r>
        <w:rPr>
          <w:sz w:val="24"/>
          <w:szCs w:val="24"/>
        </w:rPr>
        <w:t>管</w:t>
      </w:r>
    </w:p>
    <w:p>
      <w:pPr>
        <w:spacing w:line="360" w:lineRule="auto"/>
        <w:ind w:firstLine="480" w:firstLineChars="200"/>
        <w:rPr>
          <w:rFonts w:hint="eastAsia"/>
          <w:sz w:val="24"/>
          <w:szCs w:val="24"/>
        </w:rPr>
      </w:pPr>
      <w:r>
        <w:rPr>
          <w:rFonts w:hint="eastAsia"/>
          <w:sz w:val="24"/>
          <w:szCs w:val="24"/>
        </w:rPr>
        <w:t>本工程厂区原水管道来自鉴江供水工程2XDN1600mm。厂区红线外原水管道路由根据东海岛供水规划最终确定。</w:t>
      </w:r>
    </w:p>
    <w:p>
      <w:pPr>
        <w:spacing w:line="360" w:lineRule="auto"/>
        <w:ind w:firstLine="480" w:firstLineChars="200"/>
        <w:rPr>
          <w:rFonts w:hint="eastAsia"/>
          <w:sz w:val="24"/>
          <w:szCs w:val="24"/>
        </w:rPr>
      </w:pPr>
      <w:r>
        <w:rPr>
          <w:rFonts w:hint="eastAsia"/>
          <w:sz w:val="24"/>
          <w:szCs w:val="24"/>
        </w:rPr>
        <w:t>（2）工艺</w:t>
      </w:r>
      <w:r>
        <w:rPr>
          <w:sz w:val="24"/>
          <w:szCs w:val="24"/>
        </w:rPr>
        <w:t>管</w:t>
      </w:r>
    </w:p>
    <w:p>
      <w:pPr>
        <w:spacing w:line="360" w:lineRule="auto"/>
        <w:ind w:firstLine="477" w:firstLineChars="199"/>
        <w:rPr>
          <w:rFonts w:hint="eastAsia"/>
          <w:sz w:val="24"/>
          <w:szCs w:val="24"/>
        </w:rPr>
      </w:pPr>
      <w:r>
        <w:rPr>
          <w:rFonts w:hint="eastAsia"/>
          <w:sz w:val="24"/>
          <w:szCs w:val="24"/>
        </w:rPr>
        <w:t>各单体之间连接的管道为工艺管道，按照流程将原水输送至下一个处理单体。管径为</w:t>
      </w:r>
      <w:r>
        <w:rPr>
          <w:sz w:val="24"/>
          <w:szCs w:val="24"/>
        </w:rPr>
        <w:t>D</w:t>
      </w:r>
      <w:r>
        <w:rPr>
          <w:rFonts w:hint="eastAsia"/>
          <w:sz w:val="24"/>
          <w:szCs w:val="24"/>
        </w:rPr>
        <w:t>N7</w:t>
      </w:r>
      <w:r>
        <w:rPr>
          <w:sz w:val="24"/>
          <w:szCs w:val="24"/>
        </w:rPr>
        <w:t>00</w:t>
      </w:r>
      <w:r>
        <w:rPr>
          <w:rFonts w:hint="eastAsia"/>
          <w:sz w:val="24"/>
          <w:szCs w:val="24"/>
        </w:rPr>
        <w:t>~</w:t>
      </w:r>
      <w:r>
        <w:rPr>
          <w:sz w:val="24"/>
          <w:szCs w:val="24"/>
        </w:rPr>
        <w:t>D</w:t>
      </w:r>
      <w:r>
        <w:rPr>
          <w:rFonts w:hint="eastAsia"/>
          <w:sz w:val="24"/>
          <w:szCs w:val="24"/>
        </w:rPr>
        <w:t>N20</w:t>
      </w:r>
      <w:r>
        <w:rPr>
          <w:sz w:val="24"/>
          <w:szCs w:val="24"/>
        </w:rPr>
        <w:t>00mm。</w:t>
      </w:r>
    </w:p>
    <w:p>
      <w:pPr>
        <w:spacing w:line="360" w:lineRule="auto"/>
        <w:ind w:firstLine="480" w:firstLineChars="200"/>
        <w:rPr>
          <w:rFonts w:hint="eastAsia"/>
          <w:sz w:val="24"/>
          <w:szCs w:val="24"/>
        </w:rPr>
      </w:pPr>
      <w:bookmarkStart w:id="15" w:name="_Toc519938525"/>
      <w:r>
        <w:rPr>
          <w:rFonts w:hint="eastAsia"/>
          <w:sz w:val="24"/>
          <w:szCs w:val="24"/>
        </w:rPr>
        <w:t>（3）</w:t>
      </w:r>
      <w:r>
        <w:rPr>
          <w:sz w:val="24"/>
          <w:szCs w:val="24"/>
        </w:rPr>
        <w:t>超越管</w:t>
      </w:r>
      <w:bookmarkEnd w:id="15"/>
    </w:p>
    <w:p>
      <w:pPr>
        <w:spacing w:line="360" w:lineRule="auto"/>
        <w:ind w:firstLine="477" w:firstLineChars="199"/>
        <w:rPr>
          <w:rFonts w:hint="eastAsia"/>
          <w:sz w:val="24"/>
          <w:szCs w:val="24"/>
        </w:rPr>
      </w:pPr>
      <w:r>
        <w:rPr>
          <w:rFonts w:hint="eastAsia"/>
          <w:sz w:val="24"/>
          <w:szCs w:val="24"/>
        </w:rPr>
        <w:t>由于原水水源压力暂不确定，故满足本工程处理单体需时，开启原水进水管道上的超越管道，使来水不经水泵提升直接进入处理单元。管径为</w:t>
      </w:r>
      <w:r>
        <w:rPr>
          <w:sz w:val="24"/>
          <w:szCs w:val="24"/>
        </w:rPr>
        <w:t>D</w:t>
      </w:r>
      <w:r>
        <w:rPr>
          <w:rFonts w:hint="eastAsia"/>
          <w:sz w:val="24"/>
          <w:szCs w:val="24"/>
        </w:rPr>
        <w:t>N16</w:t>
      </w:r>
      <w:r>
        <w:rPr>
          <w:sz w:val="24"/>
          <w:szCs w:val="24"/>
        </w:rPr>
        <w:t>00mm。</w:t>
      </w:r>
    </w:p>
    <w:p>
      <w:pPr>
        <w:spacing w:line="360" w:lineRule="auto"/>
        <w:ind w:firstLine="480" w:firstLineChars="200"/>
        <w:rPr>
          <w:sz w:val="24"/>
          <w:szCs w:val="24"/>
        </w:rPr>
      </w:pPr>
      <w:bookmarkStart w:id="16" w:name="_Toc484135984"/>
      <w:bookmarkStart w:id="17" w:name="_Toc470856020"/>
      <w:bookmarkStart w:id="18" w:name="_Toc519938526"/>
      <w:r>
        <w:rPr>
          <w:rFonts w:hint="eastAsia"/>
          <w:sz w:val="24"/>
          <w:szCs w:val="24"/>
        </w:rPr>
        <w:t>（4）排</w:t>
      </w:r>
      <w:r>
        <w:rPr>
          <w:sz w:val="24"/>
          <w:szCs w:val="24"/>
        </w:rPr>
        <w:t>泥管线设计</w:t>
      </w:r>
      <w:bookmarkEnd w:id="16"/>
      <w:bookmarkEnd w:id="17"/>
      <w:bookmarkEnd w:id="18"/>
    </w:p>
    <w:p>
      <w:pPr>
        <w:spacing w:line="360" w:lineRule="auto"/>
        <w:ind w:firstLine="477" w:firstLineChars="199"/>
        <w:rPr>
          <w:rFonts w:hint="eastAsia"/>
          <w:sz w:val="24"/>
          <w:szCs w:val="24"/>
        </w:rPr>
      </w:pPr>
      <w:r>
        <w:rPr>
          <w:sz w:val="24"/>
          <w:szCs w:val="24"/>
        </w:rPr>
        <w:t>厂区</w:t>
      </w:r>
      <w:r>
        <w:rPr>
          <w:rFonts w:hint="eastAsia"/>
          <w:sz w:val="24"/>
          <w:szCs w:val="24"/>
        </w:rPr>
        <w:t>平流沉淀池定期排泥</w:t>
      </w:r>
      <w:r>
        <w:rPr>
          <w:sz w:val="24"/>
          <w:szCs w:val="24"/>
        </w:rPr>
        <w:t>，</w:t>
      </w:r>
      <w:r>
        <w:rPr>
          <w:rFonts w:hint="eastAsia"/>
          <w:sz w:val="24"/>
          <w:szCs w:val="24"/>
        </w:rPr>
        <w:t>经排泥渠再由排泥管道排放至回流水池及泵房；滤池定期清洗，废水经排泥渠再由排泥管道排放至排泥池。上清液回流，池底沉淀污泥进入后续浓缩、脱水环节。管径为</w:t>
      </w:r>
      <w:r>
        <w:rPr>
          <w:sz w:val="24"/>
          <w:szCs w:val="24"/>
        </w:rPr>
        <w:t>D</w:t>
      </w:r>
      <w:r>
        <w:rPr>
          <w:rFonts w:hint="eastAsia"/>
          <w:sz w:val="24"/>
          <w:szCs w:val="24"/>
        </w:rPr>
        <w:t>N10</w:t>
      </w:r>
      <w:r>
        <w:rPr>
          <w:sz w:val="24"/>
          <w:szCs w:val="24"/>
        </w:rPr>
        <w:t>00</w:t>
      </w:r>
      <w:r>
        <w:rPr>
          <w:rFonts w:hint="eastAsia"/>
          <w:sz w:val="24"/>
          <w:szCs w:val="24"/>
        </w:rPr>
        <w:t>~</w:t>
      </w:r>
      <w:r>
        <w:rPr>
          <w:sz w:val="24"/>
          <w:szCs w:val="24"/>
        </w:rPr>
        <w:t>D</w:t>
      </w:r>
      <w:r>
        <w:rPr>
          <w:rFonts w:hint="eastAsia"/>
          <w:sz w:val="24"/>
          <w:szCs w:val="24"/>
        </w:rPr>
        <w:t>N15</w:t>
      </w:r>
      <w:r>
        <w:rPr>
          <w:sz w:val="24"/>
          <w:szCs w:val="24"/>
        </w:rPr>
        <w:t>0mm。</w:t>
      </w:r>
    </w:p>
    <w:p>
      <w:pPr>
        <w:spacing w:line="360" w:lineRule="auto"/>
        <w:ind w:firstLine="480" w:firstLineChars="200"/>
        <w:rPr>
          <w:sz w:val="24"/>
          <w:szCs w:val="24"/>
        </w:rPr>
      </w:pPr>
      <w:r>
        <w:rPr>
          <w:rFonts w:hint="eastAsia"/>
          <w:sz w:val="24"/>
          <w:szCs w:val="24"/>
        </w:rPr>
        <w:t>（5）排空</w:t>
      </w:r>
      <w:r>
        <w:rPr>
          <w:sz w:val="24"/>
          <w:szCs w:val="24"/>
        </w:rPr>
        <w:t>管道</w:t>
      </w:r>
    </w:p>
    <w:p>
      <w:pPr>
        <w:spacing w:line="360" w:lineRule="auto"/>
        <w:ind w:firstLine="477" w:firstLineChars="199"/>
        <w:rPr>
          <w:rFonts w:hint="eastAsia"/>
          <w:sz w:val="24"/>
          <w:szCs w:val="24"/>
        </w:rPr>
      </w:pPr>
      <w:r>
        <w:rPr>
          <w:rFonts w:hint="eastAsia"/>
          <w:sz w:val="24"/>
          <w:szCs w:val="24"/>
        </w:rPr>
        <w:t>厂区各构筑物排空管经排空井（排空阀门井、排空湿井）排入厂区污水系统。脱水机滤液排入厂区污水系统。管径为</w:t>
      </w:r>
      <w:r>
        <w:rPr>
          <w:sz w:val="24"/>
          <w:szCs w:val="24"/>
        </w:rPr>
        <w:t>D</w:t>
      </w:r>
      <w:r>
        <w:rPr>
          <w:rFonts w:hint="eastAsia"/>
          <w:sz w:val="24"/>
          <w:szCs w:val="24"/>
        </w:rPr>
        <w:t>N6</w:t>
      </w:r>
      <w:r>
        <w:rPr>
          <w:sz w:val="24"/>
          <w:szCs w:val="24"/>
        </w:rPr>
        <w:t>00</w:t>
      </w:r>
      <w:r>
        <w:rPr>
          <w:rFonts w:hint="eastAsia"/>
          <w:sz w:val="24"/>
          <w:szCs w:val="24"/>
        </w:rPr>
        <w:t>~</w:t>
      </w:r>
      <w:r>
        <w:rPr>
          <w:sz w:val="24"/>
          <w:szCs w:val="24"/>
        </w:rPr>
        <w:t>D</w:t>
      </w:r>
      <w:r>
        <w:rPr>
          <w:rFonts w:hint="eastAsia"/>
          <w:sz w:val="24"/>
          <w:szCs w:val="24"/>
        </w:rPr>
        <w:t>N15</w:t>
      </w:r>
      <w:r>
        <w:rPr>
          <w:sz w:val="24"/>
          <w:szCs w:val="24"/>
        </w:rPr>
        <w:t>0mm。</w:t>
      </w:r>
    </w:p>
    <w:p>
      <w:pPr>
        <w:spacing w:line="360" w:lineRule="auto"/>
        <w:ind w:firstLine="480" w:firstLineChars="200"/>
        <w:rPr>
          <w:rFonts w:hint="eastAsia"/>
          <w:sz w:val="24"/>
          <w:szCs w:val="24"/>
        </w:rPr>
      </w:pPr>
      <w:r>
        <w:rPr>
          <w:rFonts w:hint="eastAsia"/>
          <w:sz w:val="24"/>
          <w:szCs w:val="24"/>
        </w:rPr>
        <w:t>（6）回流水管道</w:t>
      </w:r>
    </w:p>
    <w:p>
      <w:pPr>
        <w:spacing w:line="360" w:lineRule="auto"/>
        <w:ind w:firstLine="477" w:firstLineChars="199"/>
        <w:rPr>
          <w:rFonts w:hint="eastAsia"/>
          <w:sz w:val="24"/>
          <w:szCs w:val="24"/>
        </w:rPr>
      </w:pPr>
      <w:r>
        <w:rPr>
          <w:sz w:val="24"/>
          <w:szCs w:val="24"/>
        </w:rPr>
        <w:t>厂区</w:t>
      </w:r>
      <w:r>
        <w:rPr>
          <w:rFonts w:hint="eastAsia"/>
          <w:sz w:val="24"/>
          <w:szCs w:val="24"/>
        </w:rPr>
        <w:t>平流沉淀池定期排泥</w:t>
      </w:r>
      <w:r>
        <w:rPr>
          <w:sz w:val="24"/>
          <w:szCs w:val="24"/>
        </w:rPr>
        <w:t>，</w:t>
      </w:r>
      <w:r>
        <w:rPr>
          <w:rFonts w:hint="eastAsia"/>
          <w:sz w:val="24"/>
          <w:szCs w:val="24"/>
        </w:rPr>
        <w:t>经排泥渠再由排泥管道排放至回流水池及泵房；滤池定期清洗，废水经排泥渠再由排泥管道排放至排泥池。厂区污泥处理系统上清液回流至网格絮凝池进水井。管径为</w:t>
      </w:r>
      <w:r>
        <w:rPr>
          <w:sz w:val="24"/>
          <w:szCs w:val="24"/>
        </w:rPr>
        <w:t>D</w:t>
      </w:r>
      <w:r>
        <w:rPr>
          <w:rFonts w:hint="eastAsia"/>
          <w:sz w:val="24"/>
          <w:szCs w:val="24"/>
        </w:rPr>
        <w:t>N3</w:t>
      </w:r>
      <w:r>
        <w:rPr>
          <w:sz w:val="24"/>
          <w:szCs w:val="24"/>
        </w:rPr>
        <w:t>00mm。</w:t>
      </w:r>
    </w:p>
    <w:p>
      <w:pPr>
        <w:spacing w:line="360" w:lineRule="auto"/>
        <w:ind w:firstLine="480" w:firstLineChars="200"/>
        <w:rPr>
          <w:sz w:val="24"/>
          <w:szCs w:val="24"/>
        </w:rPr>
      </w:pPr>
      <w:bookmarkStart w:id="19" w:name="_Toc484135980"/>
      <w:bookmarkStart w:id="20" w:name="_Toc519938521"/>
      <w:r>
        <w:rPr>
          <w:rFonts w:hint="eastAsia"/>
          <w:sz w:val="24"/>
          <w:szCs w:val="24"/>
        </w:rPr>
        <w:t>（7）</w:t>
      </w:r>
      <w:r>
        <w:rPr>
          <w:sz w:val="24"/>
          <w:szCs w:val="24"/>
        </w:rPr>
        <w:t>给水、</w:t>
      </w:r>
      <w:r>
        <w:rPr>
          <w:rFonts w:hint="eastAsia"/>
          <w:sz w:val="24"/>
          <w:szCs w:val="24"/>
        </w:rPr>
        <w:t>绿化</w:t>
      </w:r>
      <w:r>
        <w:rPr>
          <w:sz w:val="24"/>
          <w:szCs w:val="24"/>
        </w:rPr>
        <w:t>水和消防</w:t>
      </w:r>
      <w:bookmarkEnd w:id="19"/>
      <w:bookmarkEnd w:id="20"/>
    </w:p>
    <w:p>
      <w:pPr>
        <w:spacing w:line="360" w:lineRule="auto"/>
        <w:ind w:firstLine="477" w:firstLineChars="199"/>
        <w:rPr>
          <w:sz w:val="24"/>
          <w:szCs w:val="24"/>
        </w:rPr>
      </w:pPr>
      <w:r>
        <w:rPr>
          <w:sz w:val="24"/>
          <w:szCs w:val="24"/>
        </w:rPr>
        <w:t>厂区自来水用</w:t>
      </w:r>
      <w:r>
        <w:rPr>
          <w:rFonts w:hint="eastAsia"/>
          <w:sz w:val="24"/>
          <w:szCs w:val="24"/>
        </w:rPr>
        <w:t>于提供</w:t>
      </w:r>
      <w:r>
        <w:rPr>
          <w:sz w:val="24"/>
          <w:szCs w:val="24"/>
        </w:rPr>
        <w:t>员工生活用水、化验用水、溶药用水、消防用水</w:t>
      </w:r>
      <w:r>
        <w:rPr>
          <w:rFonts w:hint="eastAsia"/>
          <w:sz w:val="24"/>
          <w:szCs w:val="24"/>
        </w:rPr>
        <w:t>、设备冲洗用水</w:t>
      </w:r>
      <w:r>
        <w:rPr>
          <w:sz w:val="24"/>
          <w:szCs w:val="24"/>
        </w:rPr>
        <w:t>。自来水管道在厂区内按环形设计，干管直径为DN</w:t>
      </w:r>
      <w:r>
        <w:rPr>
          <w:rFonts w:hint="eastAsia"/>
          <w:sz w:val="24"/>
          <w:szCs w:val="24"/>
        </w:rPr>
        <w:t>20</w:t>
      </w:r>
      <w:r>
        <w:rPr>
          <w:sz w:val="24"/>
          <w:szCs w:val="24"/>
        </w:rPr>
        <w:t>0mm。厂内</w:t>
      </w:r>
      <w:r>
        <w:rPr>
          <w:rFonts w:hint="eastAsia"/>
          <w:sz w:val="24"/>
          <w:szCs w:val="24"/>
        </w:rPr>
        <w:t>室外</w:t>
      </w:r>
      <w:r>
        <w:rPr>
          <w:sz w:val="24"/>
          <w:szCs w:val="24"/>
        </w:rPr>
        <w:t>消</w:t>
      </w:r>
      <w:r>
        <w:rPr>
          <w:rFonts w:hint="eastAsia"/>
          <w:sz w:val="24"/>
          <w:szCs w:val="24"/>
        </w:rPr>
        <w:t>火栓系统</w:t>
      </w:r>
      <w:r>
        <w:rPr>
          <w:sz w:val="24"/>
          <w:szCs w:val="24"/>
        </w:rPr>
        <w:t>采用低压制，按同一时间内火灾次数</w:t>
      </w:r>
      <w:r>
        <w:rPr>
          <w:rFonts w:hint="eastAsia"/>
          <w:sz w:val="24"/>
          <w:szCs w:val="24"/>
        </w:rPr>
        <w:t>1</w:t>
      </w:r>
      <w:r>
        <w:rPr>
          <w:sz w:val="24"/>
          <w:szCs w:val="24"/>
        </w:rPr>
        <w:t>次计，用水量为2</w:t>
      </w:r>
      <w:r>
        <w:rPr>
          <w:rFonts w:hint="eastAsia"/>
          <w:sz w:val="24"/>
          <w:szCs w:val="24"/>
        </w:rPr>
        <w:t>5</w:t>
      </w:r>
      <w:r>
        <w:rPr>
          <w:sz w:val="24"/>
          <w:szCs w:val="24"/>
        </w:rPr>
        <w:t>升</w:t>
      </w:r>
      <w:r>
        <w:rPr>
          <w:sz w:val="24"/>
          <w:szCs w:val="24"/>
        </w:rPr>
        <w:sym w:font="Symbol" w:char="F02F"/>
      </w:r>
      <w:r>
        <w:rPr>
          <w:sz w:val="24"/>
          <w:szCs w:val="24"/>
        </w:rPr>
        <w:t>秒，</w:t>
      </w:r>
      <w:r>
        <w:rPr>
          <w:rFonts w:hint="eastAsia"/>
          <w:sz w:val="24"/>
          <w:szCs w:val="24"/>
        </w:rPr>
        <w:t>室外消火栓采用地上式，保护半径不大于150m，间距不大于120m，沿路边设置。根据绿化需求合理设置洒水栓DN25。</w:t>
      </w:r>
    </w:p>
    <w:p>
      <w:pPr>
        <w:spacing w:line="360" w:lineRule="auto"/>
        <w:ind w:firstLine="480" w:firstLineChars="200"/>
        <w:rPr>
          <w:rFonts w:hint="eastAsia"/>
          <w:sz w:val="24"/>
          <w:szCs w:val="24"/>
        </w:rPr>
      </w:pPr>
      <w:bookmarkStart w:id="21" w:name="_Toc484135981"/>
      <w:bookmarkStart w:id="22" w:name="_Toc470856017"/>
      <w:bookmarkStart w:id="23" w:name="_Toc519938522"/>
      <w:r>
        <w:rPr>
          <w:rFonts w:hint="eastAsia"/>
          <w:sz w:val="24"/>
          <w:szCs w:val="24"/>
        </w:rPr>
        <w:t>（8）</w:t>
      </w:r>
      <w:r>
        <w:rPr>
          <w:sz w:val="24"/>
          <w:szCs w:val="24"/>
        </w:rPr>
        <w:t>排水管</w:t>
      </w:r>
      <w:bookmarkEnd w:id="21"/>
      <w:bookmarkEnd w:id="22"/>
      <w:bookmarkEnd w:id="23"/>
    </w:p>
    <w:p>
      <w:pPr>
        <w:spacing w:line="360" w:lineRule="auto"/>
        <w:ind w:firstLine="480" w:firstLineChars="200"/>
        <w:rPr>
          <w:sz w:val="24"/>
          <w:szCs w:val="24"/>
        </w:rPr>
      </w:pPr>
      <w:r>
        <w:rPr>
          <w:sz w:val="24"/>
          <w:szCs w:val="24"/>
        </w:rPr>
        <w:t>本项目排水系统采用分流制，即分为污水排水系统和雨水排水系统。</w:t>
      </w:r>
    </w:p>
    <w:p>
      <w:pPr>
        <w:spacing w:line="360" w:lineRule="auto"/>
        <w:ind w:firstLine="480" w:firstLineChars="200"/>
        <w:rPr>
          <w:sz w:val="24"/>
          <w:szCs w:val="24"/>
        </w:rPr>
      </w:pPr>
      <w:r>
        <w:rPr>
          <w:sz w:val="24"/>
          <w:szCs w:val="24"/>
        </w:rPr>
        <w:fldChar w:fldCharType="begin"/>
      </w:r>
      <w:r>
        <w:rPr>
          <w:sz w:val="24"/>
          <w:szCs w:val="24"/>
        </w:rPr>
        <w:instrText xml:space="preserve"> = 1 \* GB3 </w:instrText>
      </w:r>
      <w:r>
        <w:rPr>
          <w:sz w:val="24"/>
          <w:szCs w:val="24"/>
        </w:rPr>
        <w:fldChar w:fldCharType="separate"/>
      </w:r>
      <w:r>
        <w:rPr>
          <w:rFonts w:hint="eastAsia" w:ascii="宋体" w:hAnsi="宋体" w:cs="宋体"/>
          <w:sz w:val="24"/>
          <w:szCs w:val="24"/>
        </w:rPr>
        <w:t>①</w:t>
      </w:r>
      <w:r>
        <w:rPr>
          <w:sz w:val="24"/>
          <w:szCs w:val="24"/>
        </w:rPr>
        <w:fldChar w:fldCharType="end"/>
      </w:r>
      <w:r>
        <w:rPr>
          <w:sz w:val="24"/>
          <w:szCs w:val="24"/>
        </w:rPr>
        <w:t>污水系统</w:t>
      </w:r>
    </w:p>
    <w:p>
      <w:pPr>
        <w:spacing w:line="360" w:lineRule="auto"/>
        <w:ind w:firstLine="480" w:firstLineChars="200"/>
        <w:rPr>
          <w:sz w:val="24"/>
          <w:szCs w:val="24"/>
        </w:rPr>
      </w:pPr>
      <w:r>
        <w:rPr>
          <w:rFonts w:hint="eastAsia"/>
          <w:sz w:val="24"/>
          <w:szCs w:val="24"/>
        </w:rPr>
        <w:t>厂区污水管道用于收集</w:t>
      </w:r>
      <w:r>
        <w:rPr>
          <w:sz w:val="24"/>
          <w:szCs w:val="24"/>
        </w:rPr>
        <w:t>生活污水的排放</w:t>
      </w:r>
      <w:r>
        <w:rPr>
          <w:rFonts w:hint="eastAsia"/>
          <w:sz w:val="24"/>
          <w:szCs w:val="24"/>
        </w:rPr>
        <w:t>、</w:t>
      </w:r>
      <w:r>
        <w:rPr>
          <w:sz w:val="24"/>
          <w:szCs w:val="24"/>
        </w:rPr>
        <w:t>辅助生产区、厂前区及脱水机房等产生的</w:t>
      </w:r>
      <w:r>
        <w:rPr>
          <w:rFonts w:hint="eastAsia"/>
          <w:sz w:val="24"/>
          <w:szCs w:val="24"/>
        </w:rPr>
        <w:t>废</w:t>
      </w:r>
      <w:r>
        <w:rPr>
          <w:sz w:val="24"/>
          <w:szCs w:val="24"/>
        </w:rPr>
        <w:t>水</w:t>
      </w:r>
      <w:r>
        <w:rPr>
          <w:rFonts w:hint="eastAsia"/>
          <w:sz w:val="24"/>
          <w:szCs w:val="24"/>
        </w:rPr>
        <w:t>。</w:t>
      </w:r>
      <w:r>
        <w:rPr>
          <w:sz w:val="24"/>
          <w:szCs w:val="24"/>
        </w:rPr>
        <w:t>管材选用</w:t>
      </w:r>
      <w:r>
        <w:rPr>
          <w:rFonts w:hint="eastAsia"/>
          <w:sz w:val="24"/>
          <w:szCs w:val="24"/>
        </w:rPr>
        <w:t>钢筋砼承插口管，</w:t>
      </w:r>
      <w:r>
        <w:rPr>
          <w:sz w:val="24"/>
          <w:szCs w:val="24"/>
        </w:rPr>
        <w:t>管径为D</w:t>
      </w:r>
      <w:r>
        <w:rPr>
          <w:rFonts w:hint="eastAsia"/>
          <w:sz w:val="24"/>
          <w:szCs w:val="24"/>
        </w:rPr>
        <w:t>N10</w:t>
      </w:r>
      <w:r>
        <w:rPr>
          <w:sz w:val="24"/>
          <w:szCs w:val="24"/>
        </w:rPr>
        <w:t>0～D</w:t>
      </w:r>
      <w:r>
        <w:rPr>
          <w:rFonts w:hint="eastAsia"/>
          <w:sz w:val="24"/>
          <w:szCs w:val="24"/>
        </w:rPr>
        <w:t>=50</w:t>
      </w:r>
      <w:r>
        <w:rPr>
          <w:sz w:val="24"/>
          <w:szCs w:val="24"/>
        </w:rPr>
        <w:t>0mm</w:t>
      </w:r>
      <w:r>
        <w:rPr>
          <w:rFonts w:hint="eastAsia" w:hAnsi="宋体"/>
          <w:sz w:val="24"/>
          <w:szCs w:val="24"/>
        </w:rPr>
        <w:t>，管道均采用管顶平接方式。</w:t>
      </w:r>
      <w:r>
        <w:rPr>
          <w:rFonts w:hint="eastAsia"/>
          <w:sz w:val="24"/>
          <w:szCs w:val="24"/>
        </w:rPr>
        <w:t>污水近期经一体化污水处理设施处理达标后绿化回用，远期厂区污水排入东海大道规划污水管道内。</w:t>
      </w:r>
    </w:p>
    <w:p>
      <w:pPr>
        <w:spacing w:line="360" w:lineRule="auto"/>
        <w:ind w:firstLine="480" w:firstLineChars="200"/>
        <w:rPr>
          <w:sz w:val="24"/>
          <w:szCs w:val="24"/>
        </w:rPr>
      </w:pPr>
      <w:r>
        <w:rPr>
          <w:sz w:val="24"/>
          <w:szCs w:val="24"/>
        </w:rPr>
        <w:fldChar w:fldCharType="begin"/>
      </w:r>
      <w:r>
        <w:rPr>
          <w:sz w:val="24"/>
          <w:szCs w:val="24"/>
        </w:rPr>
        <w:instrText xml:space="preserve"> = 2 \* GB3 </w:instrText>
      </w:r>
      <w:r>
        <w:rPr>
          <w:sz w:val="24"/>
          <w:szCs w:val="24"/>
        </w:rPr>
        <w:fldChar w:fldCharType="separate"/>
      </w:r>
      <w:r>
        <w:rPr>
          <w:rFonts w:hint="eastAsia" w:ascii="宋体" w:hAnsi="宋体" w:cs="宋体"/>
          <w:sz w:val="24"/>
          <w:szCs w:val="24"/>
        </w:rPr>
        <w:t>②</w:t>
      </w:r>
      <w:r>
        <w:rPr>
          <w:sz w:val="24"/>
          <w:szCs w:val="24"/>
        </w:rPr>
        <w:fldChar w:fldCharType="end"/>
      </w:r>
      <w:r>
        <w:rPr>
          <w:sz w:val="24"/>
          <w:szCs w:val="24"/>
        </w:rPr>
        <w:t>雨水系统</w:t>
      </w:r>
    </w:p>
    <w:p>
      <w:pPr>
        <w:spacing w:line="360" w:lineRule="auto"/>
        <w:ind w:firstLine="480" w:firstLineChars="200"/>
        <w:rPr>
          <w:sz w:val="24"/>
          <w:szCs w:val="24"/>
        </w:rPr>
      </w:pPr>
      <w:r>
        <w:rPr>
          <w:rFonts w:hint="eastAsia"/>
          <w:sz w:val="24"/>
          <w:szCs w:val="24"/>
        </w:rPr>
        <w:t>厂内</w:t>
      </w:r>
      <w:r>
        <w:rPr>
          <w:sz w:val="24"/>
          <w:szCs w:val="24"/>
        </w:rPr>
        <w:t>采用雨水口、雨水检查井与雨水管道相结合的城市型雨水排放系统，沿地块</w:t>
      </w:r>
      <w:r>
        <w:rPr>
          <w:rFonts w:hint="eastAsia"/>
          <w:sz w:val="24"/>
          <w:szCs w:val="24"/>
        </w:rPr>
        <w:t>道路两侧</w:t>
      </w:r>
      <w:r>
        <w:rPr>
          <w:sz w:val="24"/>
          <w:szCs w:val="24"/>
        </w:rPr>
        <w:t>布设雨水管</w:t>
      </w:r>
      <w:r>
        <w:rPr>
          <w:rFonts w:hint="eastAsia"/>
          <w:sz w:val="24"/>
          <w:szCs w:val="24"/>
        </w:rPr>
        <w:t>，本工程道路均高于两侧绿化0.2m，雨水口设置在绿地内。由于规划的东海大道排水管网尚未建成实施，</w:t>
      </w:r>
      <w:r>
        <w:rPr>
          <w:sz w:val="24"/>
          <w:szCs w:val="24"/>
        </w:rPr>
        <w:t>近期</w:t>
      </w:r>
      <w:r>
        <w:rPr>
          <w:rFonts w:hint="eastAsia"/>
          <w:sz w:val="24"/>
          <w:szCs w:val="24"/>
        </w:rPr>
        <w:t>收集雨水后统一排入厂区雨水从北侧就近接入现况水渠，再由水渠引入什足河内。待规划的东海大道排水管网建成后，厂区内收集的雨水东海大道排水管网</w:t>
      </w:r>
      <w:r>
        <w:rPr>
          <w:sz w:val="24"/>
          <w:szCs w:val="24"/>
        </w:rPr>
        <w:t>雨水管网</w:t>
      </w:r>
      <w:r>
        <w:rPr>
          <w:rFonts w:hint="eastAsia"/>
          <w:sz w:val="24"/>
          <w:szCs w:val="24"/>
        </w:rPr>
        <w:t>。厂区内雨水管径60</w:t>
      </w:r>
      <w:r>
        <w:rPr>
          <w:sz w:val="24"/>
          <w:szCs w:val="24"/>
        </w:rPr>
        <w:t>0～</w:t>
      </w:r>
      <w:r>
        <w:rPr>
          <w:rFonts w:hint="eastAsia"/>
          <w:sz w:val="24"/>
          <w:szCs w:val="24"/>
        </w:rPr>
        <w:t>14</w:t>
      </w:r>
      <w:r>
        <w:rPr>
          <w:sz w:val="24"/>
          <w:szCs w:val="24"/>
        </w:rPr>
        <w:t>00mm</w:t>
      </w:r>
      <w:r>
        <w:rPr>
          <w:rFonts w:hint="eastAsia"/>
          <w:sz w:val="24"/>
          <w:szCs w:val="24"/>
        </w:rPr>
        <w:t>，</w:t>
      </w:r>
      <w:r>
        <w:rPr>
          <w:sz w:val="24"/>
          <w:szCs w:val="24"/>
        </w:rPr>
        <w:t>最后排出管径</w:t>
      </w:r>
      <w:r>
        <w:rPr>
          <w:rFonts w:hint="eastAsia"/>
          <w:sz w:val="24"/>
          <w:szCs w:val="24"/>
        </w:rPr>
        <w:t>2000</w:t>
      </w:r>
      <w:r>
        <w:rPr>
          <w:sz w:val="24"/>
          <w:szCs w:val="24"/>
        </w:rPr>
        <w:t xml:space="preserve"> mm</w:t>
      </w:r>
      <w:r>
        <w:rPr>
          <w:rFonts w:hint="eastAsia"/>
          <w:sz w:val="24"/>
          <w:szCs w:val="24"/>
        </w:rPr>
        <w:t>，</w:t>
      </w:r>
      <w:r>
        <w:rPr>
          <w:sz w:val="24"/>
          <w:szCs w:val="24"/>
        </w:rPr>
        <w:t>管材选用</w:t>
      </w:r>
      <w:r>
        <w:rPr>
          <w:rFonts w:hint="eastAsia"/>
          <w:sz w:val="24"/>
          <w:szCs w:val="24"/>
        </w:rPr>
        <w:t>钢筋砼承插口管</w:t>
      </w:r>
      <w:r>
        <w:rPr>
          <w:sz w:val="24"/>
          <w:szCs w:val="24"/>
        </w:rPr>
        <w:t>，雨水管总长约</w:t>
      </w:r>
      <w:r>
        <w:rPr>
          <w:rFonts w:hint="eastAsia"/>
          <w:sz w:val="24"/>
          <w:szCs w:val="24"/>
        </w:rPr>
        <w:t>2480</w:t>
      </w:r>
      <w:r>
        <w:rPr>
          <w:sz w:val="24"/>
          <w:szCs w:val="24"/>
        </w:rPr>
        <w:t>m。</w:t>
      </w:r>
    </w:p>
    <w:p>
      <w:pPr>
        <w:spacing w:line="360" w:lineRule="auto"/>
        <w:ind w:firstLine="480" w:firstLineChars="200"/>
        <w:rPr>
          <w:sz w:val="24"/>
          <w:szCs w:val="24"/>
        </w:rPr>
      </w:pPr>
      <w:r>
        <w:rPr>
          <w:rFonts w:hint="eastAsia"/>
          <w:sz w:val="24"/>
          <w:szCs w:val="24"/>
        </w:rPr>
        <w:t>（9）</w:t>
      </w:r>
      <w:r>
        <w:rPr>
          <w:sz w:val="24"/>
          <w:szCs w:val="24"/>
        </w:rPr>
        <w:t>管道附件井</w:t>
      </w:r>
    </w:p>
    <w:p>
      <w:pPr>
        <w:snapToGrid w:val="0"/>
        <w:spacing w:line="360" w:lineRule="auto"/>
        <w:ind w:firstLine="480" w:firstLineChars="200"/>
        <w:rPr>
          <w:sz w:val="28"/>
          <w:szCs w:val="28"/>
        </w:rPr>
      </w:pPr>
      <w:r>
        <w:rPr>
          <w:rFonts w:hint="eastAsia" w:hAnsi="宋体"/>
          <w:sz w:val="24"/>
          <w:szCs w:val="24"/>
        </w:rPr>
        <w:t>管道附件及井包括蝶阀井；流量计井；排空井；闸阀井；雨、污水检查井；消火栓井；洒水栓井；排气阀井；水表井等。当附件井设置在路面上时，其井盖顶应与路面平；当井设置在绿地内时，井盖顶应高处周边绿地</w:t>
      </w:r>
      <w:r>
        <w:rPr>
          <w:rFonts w:hint="eastAsia"/>
          <w:sz w:val="24"/>
          <w:szCs w:val="24"/>
        </w:rPr>
        <w:t>15</w:t>
      </w:r>
      <w:r>
        <w:rPr>
          <w:sz w:val="24"/>
          <w:szCs w:val="24"/>
        </w:rPr>
        <w:t>cm</w:t>
      </w:r>
      <w:r>
        <w:rPr>
          <w:rFonts w:hint="eastAsia" w:hAnsi="宋体"/>
          <w:sz w:val="24"/>
          <w:szCs w:val="24"/>
        </w:rPr>
        <w:t>。</w:t>
      </w:r>
    </w:p>
    <w:p>
      <w:pPr>
        <w:pStyle w:val="5"/>
        <w:spacing w:line="360" w:lineRule="auto"/>
        <w:rPr>
          <w:rFonts w:eastAsia="仿宋_GB2312"/>
          <w:color w:val="000000"/>
          <w:sz w:val="24"/>
          <w:szCs w:val="24"/>
        </w:rPr>
      </w:pPr>
      <w:r>
        <w:rPr>
          <w:rFonts w:eastAsia="仿宋_GB2312"/>
          <w:color w:val="000000"/>
          <w:sz w:val="24"/>
          <w:szCs w:val="24"/>
        </w:rPr>
        <w:t>1.1.2 项目区概况</w:t>
      </w:r>
    </w:p>
    <w:p>
      <w:pPr>
        <w:pStyle w:val="24"/>
      </w:pPr>
      <w:r>
        <w:t>1.1.2.1自然条件</w:t>
      </w:r>
    </w:p>
    <w:p>
      <w:pPr>
        <w:bidi w:val="0"/>
        <w:rPr>
          <w:b w:val="0"/>
          <w:bCs w:val="0"/>
          <w:sz w:val="24"/>
          <w:szCs w:val="24"/>
        </w:rPr>
      </w:pPr>
      <w:r>
        <w:rPr>
          <w:rFonts w:hint="eastAsia"/>
          <w:b w:val="0"/>
          <w:bCs w:val="0"/>
          <w:sz w:val="24"/>
          <w:szCs w:val="24"/>
          <w:lang w:val="en-US" w:eastAsia="zh-CN"/>
        </w:rPr>
        <w:t>1、</w:t>
      </w:r>
      <w:r>
        <w:rPr>
          <w:rFonts w:hint="eastAsia"/>
          <w:b w:val="0"/>
          <w:bCs w:val="0"/>
          <w:sz w:val="24"/>
          <w:szCs w:val="24"/>
        </w:rPr>
        <w:t>地形地貌</w:t>
      </w:r>
    </w:p>
    <w:p>
      <w:pPr>
        <w:spacing w:line="360" w:lineRule="auto"/>
        <w:ind w:firstLine="480" w:firstLineChars="200"/>
        <w:rPr>
          <w:sz w:val="24"/>
          <w:szCs w:val="24"/>
        </w:rPr>
      </w:pPr>
      <w:r>
        <w:rPr>
          <w:rFonts w:hint="eastAsia"/>
          <w:sz w:val="24"/>
          <w:szCs w:val="24"/>
        </w:rPr>
        <w:t>湛江陆地大部分由半岛和岛屿组成，地势北高南低。湛江市由雷北火山群、雷中冲洪积平原、雷南火山群及北部丘陵山区组成，地形属平台阶地及低丘陵地带，以平原台地为主，地势北高南低。雷州半岛台地驼峰状起伏, 北部廉江市丘陵遍布, 最高为双峰幛海拔382m，其余为30～80m；中部遂溪县除最高的螺岗岭海拔233m 外, 其余为海拔20～40m 的台地; 南部的雷州市、徐闻县除海拔分别是259m 和254m的大岭、石卵岭较高外, 基本是起伏平缓的玄武岩台地和火山口盆地,海拔均在30～50m 之间; 东部吴川市是鉴江下游的阶地又是流经出海的所在地, 沿海多为海蚀、海积阶地和平原，海拔为2～20m。在全市总面积中，平原滩涂占39.6%，丘陵占21.5%，台地占38.9%，陆地大部分由半岛和岛屿组成，以北部廉江市境内的双峰嶂（382m）为全区的最高点。</w:t>
      </w:r>
    </w:p>
    <w:p>
      <w:pPr>
        <w:spacing w:line="360" w:lineRule="auto"/>
        <w:ind w:firstLine="480" w:firstLineChars="200"/>
        <w:rPr>
          <w:sz w:val="24"/>
          <w:szCs w:val="24"/>
        </w:rPr>
      </w:pPr>
      <w:r>
        <w:rPr>
          <w:sz w:val="24"/>
          <w:szCs w:val="24"/>
        </w:rPr>
        <w:t>通过现场勘查并结合原始地形图，本地块</w:t>
      </w:r>
      <w:r>
        <w:rPr>
          <w:rFonts w:hint="eastAsia"/>
          <w:sz w:val="24"/>
          <w:szCs w:val="24"/>
        </w:rPr>
        <w:t>原始地貌类型属微丘地貌</w:t>
      </w:r>
      <w:r>
        <w:rPr>
          <w:sz w:val="24"/>
          <w:szCs w:val="24"/>
        </w:rPr>
        <w:t>，</w:t>
      </w:r>
      <w:r>
        <w:rPr>
          <w:rFonts w:hint="eastAsia"/>
          <w:sz w:val="24"/>
          <w:szCs w:val="24"/>
        </w:rPr>
        <w:t>地块内</w:t>
      </w:r>
      <w:r>
        <w:rPr>
          <w:sz w:val="24"/>
          <w:szCs w:val="24"/>
        </w:rPr>
        <w:t>原始场地标高场在+</w:t>
      </w:r>
      <w:r>
        <w:rPr>
          <w:rFonts w:hint="eastAsia"/>
          <w:sz w:val="24"/>
          <w:szCs w:val="24"/>
        </w:rPr>
        <w:t>3.6</w:t>
      </w:r>
      <w:r>
        <w:rPr>
          <w:sz w:val="24"/>
          <w:szCs w:val="24"/>
        </w:rPr>
        <w:t>m~</w:t>
      </w:r>
      <w:r>
        <w:rPr>
          <w:rFonts w:hint="eastAsia"/>
          <w:sz w:val="24"/>
          <w:szCs w:val="24"/>
        </w:rPr>
        <w:t>10.5</w:t>
      </w:r>
      <w:r>
        <w:rPr>
          <w:sz w:val="24"/>
          <w:szCs w:val="24"/>
        </w:rPr>
        <w:t>m之间。</w:t>
      </w:r>
    </w:p>
    <w:p>
      <w:pPr>
        <w:bidi w:val="0"/>
        <w:rPr>
          <w:rFonts w:hint="eastAsia"/>
          <w:b w:val="0"/>
          <w:bCs w:val="0"/>
          <w:lang w:val="en-US" w:eastAsia="zh-CN"/>
        </w:rPr>
      </w:pPr>
      <w:r>
        <w:rPr>
          <w:rFonts w:hint="eastAsia"/>
          <w:b w:val="0"/>
          <w:bCs w:val="0"/>
          <w:lang w:val="en-US" w:eastAsia="zh-CN"/>
        </w:rPr>
        <w:t>2、地质</w:t>
      </w:r>
    </w:p>
    <w:p>
      <w:pPr>
        <w:spacing w:line="360" w:lineRule="auto"/>
        <w:ind w:firstLine="480" w:firstLineChars="200"/>
        <w:rPr>
          <w:rFonts w:hint="eastAsia"/>
          <w:snapToGrid w:val="0"/>
          <w:kern w:val="0"/>
          <w:sz w:val="24"/>
          <w:szCs w:val="24"/>
        </w:rPr>
      </w:pPr>
      <w:r>
        <w:rPr>
          <w:snapToGrid w:val="0"/>
          <w:kern w:val="0"/>
          <w:sz w:val="24"/>
          <w:szCs w:val="24"/>
        </w:rPr>
        <w:t>根据野外钻探资料，</w:t>
      </w:r>
      <w:r>
        <w:rPr>
          <w:rFonts w:hint="eastAsia"/>
          <w:snapToGrid w:val="0"/>
          <w:kern w:val="0"/>
          <w:sz w:val="24"/>
          <w:szCs w:val="24"/>
        </w:rPr>
        <w:t>在钻孔控制深度范围内，揭露的地层有耕土层(Q</w:t>
      </w:r>
      <w:r>
        <w:rPr>
          <w:rFonts w:hint="eastAsia"/>
          <w:snapToGrid w:val="0"/>
          <w:kern w:val="0"/>
          <w:sz w:val="24"/>
          <w:szCs w:val="24"/>
          <w:vertAlign w:val="superscript"/>
        </w:rPr>
        <w:t>4pdl</w:t>
      </w:r>
      <w:r>
        <w:rPr>
          <w:rFonts w:hint="eastAsia"/>
          <w:snapToGrid w:val="0"/>
          <w:kern w:val="0"/>
          <w:sz w:val="24"/>
          <w:szCs w:val="24"/>
        </w:rPr>
        <w:t>)、第四系坡积层(Q</w:t>
      </w:r>
      <w:r>
        <w:rPr>
          <w:rFonts w:hint="eastAsia"/>
          <w:snapToGrid w:val="0"/>
          <w:kern w:val="0"/>
          <w:sz w:val="24"/>
          <w:szCs w:val="24"/>
          <w:vertAlign w:val="superscript"/>
        </w:rPr>
        <w:t>4dl</w:t>
      </w:r>
      <w:r>
        <w:rPr>
          <w:rFonts w:hint="eastAsia"/>
          <w:snapToGrid w:val="0"/>
          <w:kern w:val="0"/>
          <w:sz w:val="24"/>
          <w:szCs w:val="24"/>
        </w:rPr>
        <w:t>) 及第四系下更新统湛江组海陆交互相沉积层(Q</w:t>
      </w:r>
      <w:r>
        <w:rPr>
          <w:rFonts w:hint="eastAsia"/>
          <w:snapToGrid w:val="0"/>
          <w:kern w:val="0"/>
          <w:sz w:val="24"/>
          <w:szCs w:val="24"/>
          <w:vertAlign w:val="superscript"/>
        </w:rPr>
        <w:t>1Zmc</w:t>
      </w:r>
      <w:r>
        <w:rPr>
          <w:rFonts w:hint="eastAsia"/>
          <w:snapToGrid w:val="0"/>
          <w:kern w:val="0"/>
          <w:sz w:val="24"/>
          <w:szCs w:val="24"/>
        </w:rPr>
        <w:t>)。各岩土层的埋藏分布情况自上而下分述如下：</w:t>
      </w:r>
    </w:p>
    <w:p>
      <w:pPr>
        <w:spacing w:line="360" w:lineRule="auto"/>
        <w:ind w:firstLine="480" w:firstLineChars="200"/>
        <w:rPr>
          <w:rFonts w:hint="eastAsia"/>
          <w:snapToGrid w:val="0"/>
          <w:kern w:val="0"/>
          <w:sz w:val="24"/>
          <w:szCs w:val="24"/>
        </w:rPr>
      </w:pPr>
      <w:r>
        <w:rPr>
          <w:rFonts w:hint="eastAsia"/>
          <w:snapToGrid w:val="0"/>
          <w:kern w:val="0"/>
          <w:sz w:val="24"/>
          <w:szCs w:val="24"/>
        </w:rPr>
        <w:t>耕土层(Q</w:t>
      </w:r>
      <w:r>
        <w:rPr>
          <w:rFonts w:hint="eastAsia"/>
          <w:snapToGrid w:val="0"/>
          <w:kern w:val="0"/>
          <w:sz w:val="24"/>
          <w:szCs w:val="24"/>
          <w:vertAlign w:val="superscript"/>
        </w:rPr>
        <w:t>4pd</w:t>
      </w:r>
      <w:r>
        <w:rPr>
          <w:rFonts w:hint="eastAsia"/>
          <w:snapToGrid w:val="0"/>
          <w:kern w:val="0"/>
          <w:sz w:val="24"/>
          <w:szCs w:val="24"/>
        </w:rPr>
        <w:t>)——</w:t>
      </w:r>
    </w:p>
    <w:p>
      <w:pPr>
        <w:spacing w:line="360" w:lineRule="auto"/>
        <w:ind w:firstLine="480" w:firstLineChars="200"/>
        <w:rPr>
          <w:rFonts w:hint="eastAsia"/>
          <w:snapToGrid w:val="0"/>
          <w:kern w:val="0"/>
          <w:sz w:val="24"/>
          <w:szCs w:val="24"/>
        </w:rPr>
      </w:pPr>
      <w:r>
        <w:rPr>
          <w:rFonts w:hint="eastAsia"/>
          <w:snapToGrid w:val="0"/>
          <w:kern w:val="0"/>
          <w:sz w:val="24"/>
          <w:szCs w:val="24"/>
        </w:rPr>
        <w:t>①耕土：浅灰色，湿，可塑，由粉质黏土及砂粒组成，含较多草根。大部分钻孔揭露，层厚0.50~3.50m，层顶埋深0.00m ，层顶高程2.82~10.83m。统计标准贯入试验11次，锤击数N=2.0~12.0击，平均7.1击。(标贯击数为实测击数，下同) 该层结构疏松，承载力低，工程性质差。</w:t>
      </w:r>
    </w:p>
    <w:p>
      <w:pPr>
        <w:spacing w:line="360" w:lineRule="auto"/>
        <w:ind w:firstLine="480" w:firstLineChars="200"/>
        <w:rPr>
          <w:rFonts w:hint="eastAsia"/>
          <w:snapToGrid w:val="0"/>
          <w:kern w:val="0"/>
          <w:sz w:val="24"/>
          <w:szCs w:val="24"/>
        </w:rPr>
      </w:pPr>
      <w:r>
        <w:rPr>
          <w:rFonts w:hint="eastAsia"/>
          <w:snapToGrid w:val="0"/>
          <w:kern w:val="0"/>
          <w:sz w:val="24"/>
          <w:szCs w:val="24"/>
        </w:rPr>
        <w:t>第四系坡积层(Q</w:t>
      </w:r>
      <w:r>
        <w:rPr>
          <w:rFonts w:hint="eastAsia"/>
          <w:snapToGrid w:val="0"/>
          <w:kern w:val="0"/>
          <w:sz w:val="24"/>
          <w:szCs w:val="24"/>
          <w:vertAlign w:val="superscript"/>
        </w:rPr>
        <w:t>4dl</w:t>
      </w:r>
      <w:r>
        <w:rPr>
          <w:rFonts w:hint="eastAsia"/>
          <w:snapToGrid w:val="0"/>
          <w:kern w:val="0"/>
          <w:sz w:val="24"/>
          <w:szCs w:val="24"/>
        </w:rPr>
        <w:t>) ——</w:t>
      </w:r>
    </w:p>
    <w:p>
      <w:pPr>
        <w:spacing w:line="360" w:lineRule="auto"/>
        <w:ind w:firstLine="480" w:firstLineChars="200"/>
        <w:rPr>
          <w:rFonts w:hint="eastAsia"/>
          <w:snapToGrid w:val="0"/>
          <w:kern w:val="0"/>
          <w:sz w:val="24"/>
          <w:szCs w:val="24"/>
        </w:rPr>
      </w:pPr>
      <w:r>
        <w:rPr>
          <w:rFonts w:hint="eastAsia"/>
          <w:snapToGrid w:val="0"/>
          <w:kern w:val="0"/>
          <w:sz w:val="24"/>
          <w:szCs w:val="24"/>
        </w:rPr>
        <w:t>②粉质黏土：浅灰黄、暗黄色，可塑，黏性一般，岩芯湿水软化，强度降低，含少量砂粒。该层主要分布在场地南侧，层厚1.00~3.80m，层顶埋深0.00~2.20m ，层顶高程5.20~1036m。统计标准贯入试验74次，锤击数N=3.0~9.0击，平均5.7击。该层具一定承载力，工程性质一般。</w:t>
      </w:r>
    </w:p>
    <w:p>
      <w:pPr>
        <w:spacing w:line="360" w:lineRule="auto"/>
        <w:ind w:firstLine="480" w:firstLineChars="200"/>
        <w:rPr>
          <w:rFonts w:hint="eastAsia"/>
          <w:snapToGrid w:val="0"/>
          <w:kern w:val="0"/>
          <w:sz w:val="24"/>
          <w:szCs w:val="24"/>
        </w:rPr>
      </w:pPr>
      <w:r>
        <w:rPr>
          <w:rFonts w:hint="eastAsia"/>
          <w:snapToGrid w:val="0"/>
          <w:kern w:val="0"/>
          <w:sz w:val="24"/>
          <w:szCs w:val="24"/>
        </w:rPr>
        <w:t>第四系下更新统湛江组海陆交互相沉积层(Q</w:t>
      </w:r>
      <w:r>
        <w:rPr>
          <w:rFonts w:hint="eastAsia"/>
          <w:snapToGrid w:val="0"/>
          <w:kern w:val="0"/>
          <w:sz w:val="24"/>
          <w:szCs w:val="24"/>
          <w:vertAlign w:val="superscript"/>
        </w:rPr>
        <w:t>1Zmc</w:t>
      </w:r>
      <w:r>
        <w:rPr>
          <w:rFonts w:hint="eastAsia"/>
          <w:snapToGrid w:val="0"/>
          <w:kern w:val="0"/>
          <w:sz w:val="24"/>
          <w:szCs w:val="24"/>
        </w:rPr>
        <w:t>) ——</w:t>
      </w:r>
    </w:p>
    <w:p>
      <w:pPr>
        <w:spacing w:line="360" w:lineRule="auto"/>
        <w:ind w:firstLine="480" w:firstLineChars="200"/>
        <w:rPr>
          <w:rFonts w:hint="eastAsia"/>
          <w:snapToGrid w:val="0"/>
          <w:kern w:val="0"/>
          <w:sz w:val="24"/>
          <w:szCs w:val="24"/>
        </w:rPr>
      </w:pPr>
      <w:r>
        <w:rPr>
          <w:rFonts w:hint="eastAsia"/>
          <w:snapToGrid w:val="0"/>
          <w:kern w:val="0"/>
          <w:sz w:val="24"/>
          <w:szCs w:val="24"/>
        </w:rPr>
        <w:t>③黏土：浅黄、浅紫红色，可塑，黏性较强，含少量粉细砂粒，仅分布在场地北侧部分钻孔，层厚1.00~5.50m，层顶埋深0.00~1.50m ，层顶高程2.85~6.05m。统计标准贯入试验21次，锤击数N=4.0~10.0击，平均6.7击。该层具一定承载力，工程性质一般。</w:t>
      </w:r>
    </w:p>
    <w:p>
      <w:pPr>
        <w:spacing w:line="360" w:lineRule="auto"/>
        <w:ind w:firstLine="480" w:firstLineChars="200"/>
        <w:rPr>
          <w:rFonts w:hint="eastAsia"/>
          <w:snapToGrid w:val="0"/>
          <w:kern w:val="0"/>
          <w:sz w:val="24"/>
          <w:szCs w:val="24"/>
        </w:rPr>
      </w:pPr>
      <w:r>
        <w:rPr>
          <w:rFonts w:hint="eastAsia"/>
          <w:snapToGrid w:val="0"/>
          <w:kern w:val="0"/>
          <w:sz w:val="24"/>
          <w:szCs w:val="24"/>
        </w:rPr>
        <w:t>④淤泥：灰黑、浅灰黑色，饱和，流塑，具臭味，黏性强，含少量有机质，局部含较多腐木碎块。主要分布在场地中部，层厚0.80~5.60m，层顶埋深0.50~3.40m ，层顶标高0.60~4.05m。统计标准贯入试验66次，锤击数N=1.0~4.0击，平均3.0击。该层为软弱土，承载力低，工程性质差。</w:t>
      </w:r>
    </w:p>
    <w:p>
      <w:pPr>
        <w:spacing w:line="360" w:lineRule="auto"/>
        <w:ind w:firstLine="480" w:firstLineChars="200"/>
        <w:rPr>
          <w:rFonts w:hint="eastAsia"/>
          <w:snapToGrid w:val="0"/>
          <w:kern w:val="0"/>
          <w:sz w:val="24"/>
          <w:szCs w:val="24"/>
        </w:rPr>
      </w:pPr>
      <w:r>
        <w:rPr>
          <w:rFonts w:hint="eastAsia"/>
          <w:snapToGrid w:val="0"/>
          <w:kern w:val="0"/>
          <w:sz w:val="24"/>
          <w:szCs w:val="24"/>
        </w:rPr>
        <w:t>⑤粉质黏土：浅灰白、浅黄、紫红色，可塑，黏性较强，含少量砂粒，除少量钻孔缺失外，大部分钻孔有分布，层厚0.50~5.80m，层顶埋深0.50~6.80m ，层顶高程-2.58~7.84m。统计标准贯入试验143次，锤击数N=4.0~13.0击，平均6.6击。该层具一定承载力，工程性质一般。</w:t>
      </w:r>
    </w:p>
    <w:p>
      <w:pPr>
        <w:spacing w:line="360" w:lineRule="auto"/>
        <w:ind w:firstLine="480" w:firstLineChars="200"/>
        <w:rPr>
          <w:rFonts w:hint="eastAsia"/>
          <w:snapToGrid w:val="0"/>
          <w:kern w:val="0"/>
          <w:sz w:val="24"/>
          <w:szCs w:val="24"/>
        </w:rPr>
      </w:pPr>
      <w:r>
        <w:rPr>
          <w:rFonts w:hint="eastAsia"/>
          <w:snapToGrid w:val="0"/>
          <w:kern w:val="0"/>
          <w:sz w:val="24"/>
          <w:szCs w:val="24"/>
        </w:rPr>
        <w:t>⑥中砂：灰黄、灰白、浅紫红色，饱和，松散~稍密。级配良好，含少量粉黏粒及细砾。除少量钻孔缺失外，大部分钻孔有分布，层厚0.50~8.90m，层顶埋深1.00~9.50m ，层顶高程-5.28~7.36m。统计标准贯入试验140次，锤击数N=5.0~19.0击，平均11.2击。该层具一定承载力，工程性质一般。</w:t>
      </w:r>
    </w:p>
    <w:p>
      <w:pPr>
        <w:spacing w:line="360" w:lineRule="auto"/>
        <w:ind w:firstLine="480" w:firstLineChars="200"/>
        <w:rPr>
          <w:rFonts w:hint="eastAsia"/>
          <w:snapToGrid w:val="0"/>
          <w:kern w:val="0"/>
          <w:sz w:val="24"/>
          <w:szCs w:val="24"/>
        </w:rPr>
      </w:pPr>
      <w:r>
        <w:rPr>
          <w:rFonts w:hint="eastAsia"/>
          <w:snapToGrid w:val="0"/>
          <w:kern w:val="0"/>
          <w:sz w:val="24"/>
          <w:szCs w:val="24"/>
        </w:rPr>
        <w:t>⑦黏土：浅黄，可塑，黏性强，含少量粉细砂粒，除少量钻孔缺失外，大部分钻孔有分布，层厚0.60~6.30m，层顶埋深3.00~12.90m ，层顶高程-6.30~4.66m。统计标准贯入试验83次，锤击数N=4.0~13.0击，平均6.9击。该层具一定承载力，工程性质一般。</w:t>
      </w:r>
    </w:p>
    <w:p>
      <w:pPr>
        <w:spacing w:line="360" w:lineRule="auto"/>
        <w:ind w:firstLine="480" w:firstLineChars="200"/>
        <w:rPr>
          <w:rFonts w:hint="eastAsia"/>
          <w:snapToGrid w:val="0"/>
          <w:kern w:val="0"/>
          <w:sz w:val="24"/>
          <w:szCs w:val="24"/>
        </w:rPr>
      </w:pPr>
      <w:r>
        <w:rPr>
          <w:rFonts w:hint="eastAsia"/>
          <w:snapToGrid w:val="0"/>
          <w:kern w:val="0"/>
          <w:sz w:val="24"/>
          <w:szCs w:val="24"/>
        </w:rPr>
        <w:t>⑧粉质黏土：灰色，软~可塑，黏性强，局部水平微层理发育，层面见少量粉细砂，除少量钻孔缺失外，大部分钻孔有分布，层厚1.00~12.99m，层顶埋深3.91~11.80m ，层顶高程-7.90~3.11m。统计标准贯入试验359次，锤击数N=3.0~9.0击，平均5.0击。该层承载力低，工程性质较差。</w:t>
      </w:r>
    </w:p>
    <w:p>
      <w:pPr>
        <w:spacing w:line="360" w:lineRule="auto"/>
        <w:ind w:firstLine="480" w:firstLineChars="200"/>
        <w:rPr>
          <w:rFonts w:hint="eastAsia"/>
          <w:snapToGrid w:val="0"/>
          <w:kern w:val="0"/>
          <w:sz w:val="24"/>
          <w:szCs w:val="24"/>
        </w:rPr>
      </w:pPr>
      <w:r>
        <w:rPr>
          <w:rFonts w:hint="eastAsia"/>
          <w:snapToGrid w:val="0"/>
          <w:kern w:val="0"/>
          <w:sz w:val="24"/>
          <w:szCs w:val="24"/>
        </w:rPr>
        <w:t>⑨粗砂：浅黄、灰白、紫红色，饱和，稍密~中密，级配较好，含少量粉黏粒及细砾。除少量钻孔缺失外，大部分钻孔有分布，层厚0.50~10.00m，层顶埋深7.20~22.50m ，层顶高程-13.29~-2.10m。统计标准贯入试验188次，锤击数N=10.0~31.0击，平均16.0击。该层具承载力中等，工程性质较好。</w:t>
      </w:r>
    </w:p>
    <w:p>
      <w:pPr>
        <w:spacing w:line="360" w:lineRule="auto"/>
        <w:ind w:firstLine="480" w:firstLineChars="200"/>
        <w:rPr>
          <w:snapToGrid w:val="0"/>
          <w:kern w:val="0"/>
          <w:sz w:val="24"/>
          <w:szCs w:val="24"/>
        </w:rPr>
      </w:pPr>
      <w:r>
        <w:rPr>
          <w:rFonts w:hint="eastAsia"/>
          <w:snapToGrid w:val="0"/>
          <w:kern w:val="0"/>
          <w:sz w:val="24"/>
          <w:szCs w:val="24"/>
        </w:rPr>
        <w:t>⑩粉质黏土：灰色，可塑，黏性强，水平微层理发育，层面见少量粉细砂，偶见中粗砂。除厂区道路及围墙的部分钻孔未作揭露外，其余钻孔均揭露，未揭穿，揭露厚度1.40~28.00m，层顶埋深6.80~24.50m，层顶高程-18.26~-2.69m。统计标准贯入试验691次，锤击数N=5.0~15.0击，平均9.1击。该层具一定承载力，工程性质一般，往下强度渐增大。</w:t>
      </w:r>
    </w:p>
    <w:p>
      <w:pPr>
        <w:spacing w:line="360" w:lineRule="auto"/>
        <w:ind w:firstLine="480" w:firstLineChars="200"/>
        <w:rPr>
          <w:sz w:val="24"/>
          <w:szCs w:val="24"/>
        </w:rPr>
      </w:pPr>
      <w:r>
        <w:rPr>
          <w:rFonts w:hint="eastAsia"/>
          <w:sz w:val="24"/>
          <w:szCs w:val="24"/>
        </w:rPr>
        <w:t>据《建筑抗震设计规范》（</w:t>
      </w:r>
      <w:r>
        <w:rPr>
          <w:sz w:val="24"/>
          <w:szCs w:val="24"/>
        </w:rPr>
        <w:t>GB50011-2010</w:t>
      </w:r>
      <w:r>
        <w:rPr>
          <w:rFonts w:hint="eastAsia"/>
          <w:sz w:val="24"/>
          <w:szCs w:val="24"/>
        </w:rPr>
        <w:t>）以及《中国地震动参数区划图》</w:t>
      </w:r>
      <w:r>
        <w:rPr>
          <w:sz w:val="24"/>
          <w:szCs w:val="24"/>
        </w:rPr>
        <w:t>(GB18306-2001)</w:t>
      </w:r>
      <w:r>
        <w:rPr>
          <w:rFonts w:hint="eastAsia"/>
          <w:sz w:val="24"/>
          <w:szCs w:val="24"/>
        </w:rPr>
        <w:t>，本场地抗震设防烈度为</w:t>
      </w:r>
      <w:r>
        <w:rPr>
          <w:sz w:val="24"/>
          <w:szCs w:val="24"/>
        </w:rPr>
        <w:t>7</w:t>
      </w:r>
      <w:r>
        <w:rPr>
          <w:rFonts w:hint="eastAsia"/>
          <w:sz w:val="24"/>
          <w:szCs w:val="24"/>
        </w:rPr>
        <w:t>度，设计地震分组为第一组，设计基本地震加速度值为</w:t>
      </w:r>
      <w:r>
        <w:rPr>
          <w:sz w:val="24"/>
          <w:szCs w:val="24"/>
        </w:rPr>
        <w:t>0.10g</w:t>
      </w:r>
      <w:r>
        <w:rPr>
          <w:rFonts w:hint="eastAsia"/>
          <w:spacing w:val="4"/>
          <w:sz w:val="24"/>
          <w:szCs w:val="24"/>
        </w:rPr>
        <w:t>。</w:t>
      </w:r>
      <w:r>
        <w:rPr>
          <w:rFonts w:hint="eastAsia"/>
          <w:sz w:val="24"/>
          <w:szCs w:val="24"/>
        </w:rPr>
        <w:t>根据《建筑工程抗震设防分类标准》</w:t>
      </w:r>
      <w:r>
        <w:rPr>
          <w:sz w:val="24"/>
          <w:szCs w:val="24"/>
        </w:rPr>
        <w:t>(GB50223-2008)</w:t>
      </w:r>
      <w:r>
        <w:rPr>
          <w:rFonts w:hint="eastAsia"/>
          <w:sz w:val="24"/>
          <w:szCs w:val="24"/>
        </w:rPr>
        <w:t>，本工程抗震设防类别为重点设防类</w:t>
      </w:r>
      <w:r>
        <w:rPr>
          <w:sz w:val="24"/>
          <w:szCs w:val="24"/>
        </w:rPr>
        <w:t>(</w:t>
      </w:r>
      <w:r>
        <w:rPr>
          <w:rFonts w:hint="eastAsia"/>
          <w:sz w:val="24"/>
          <w:szCs w:val="24"/>
        </w:rPr>
        <w:t>乙类</w:t>
      </w:r>
      <w:r>
        <w:rPr>
          <w:sz w:val="24"/>
          <w:szCs w:val="24"/>
        </w:rPr>
        <w:t>)</w:t>
      </w:r>
      <w:r>
        <w:rPr>
          <w:rFonts w:hint="eastAsia"/>
          <w:sz w:val="24"/>
          <w:szCs w:val="24"/>
        </w:rPr>
        <w:t>。</w:t>
      </w:r>
    </w:p>
    <w:p>
      <w:pPr>
        <w:bidi w:val="0"/>
        <w:rPr>
          <w:rFonts w:hint="eastAsia"/>
          <w:b w:val="0"/>
          <w:bCs w:val="0"/>
          <w:lang w:val="en-US" w:eastAsia="zh-CN"/>
        </w:rPr>
      </w:pPr>
      <w:r>
        <w:rPr>
          <w:rFonts w:hint="eastAsia"/>
          <w:b w:val="0"/>
          <w:bCs w:val="0"/>
          <w:lang w:val="en-US" w:eastAsia="zh-CN"/>
        </w:rPr>
        <w:t>3、气象</w:t>
      </w:r>
    </w:p>
    <w:p>
      <w:pPr>
        <w:spacing w:line="360" w:lineRule="auto"/>
        <w:ind w:firstLine="480" w:firstLineChars="200"/>
        <w:rPr>
          <w:rFonts w:hint="eastAsia"/>
          <w:sz w:val="24"/>
          <w:szCs w:val="24"/>
        </w:rPr>
      </w:pPr>
      <w:r>
        <w:rPr>
          <w:rFonts w:hint="eastAsia"/>
          <w:sz w:val="24"/>
          <w:szCs w:val="24"/>
        </w:rPr>
        <w:t>项目区属南亚热带季风气候，常年受海洋气候调节</w:t>
      </w:r>
      <w:r>
        <w:rPr>
          <w:sz w:val="24"/>
          <w:szCs w:val="24"/>
        </w:rPr>
        <w:t>，日照时间长，温湿多雨，夏无酷暑，冬无严寒，四季草木常青。</w:t>
      </w:r>
    </w:p>
    <w:p>
      <w:pPr>
        <w:spacing w:line="360" w:lineRule="auto"/>
        <w:ind w:firstLine="480" w:firstLineChars="200"/>
        <w:rPr>
          <w:sz w:val="24"/>
          <w:szCs w:val="24"/>
        </w:rPr>
      </w:pPr>
      <w:r>
        <w:rPr>
          <w:rFonts w:hint="eastAsia"/>
          <w:sz w:val="24"/>
          <w:szCs w:val="24"/>
        </w:rPr>
        <w:t>项目区</w:t>
      </w:r>
      <w:r>
        <w:rPr>
          <w:sz w:val="24"/>
          <w:szCs w:val="24"/>
        </w:rPr>
        <w:t>年平均气温</w:t>
      </w:r>
      <w:r>
        <w:rPr>
          <w:rFonts w:hint="eastAsia"/>
          <w:sz w:val="24"/>
          <w:szCs w:val="24"/>
        </w:rPr>
        <w:t>23.1</w:t>
      </w:r>
      <w:r>
        <w:rPr>
          <w:sz w:val="24"/>
          <w:szCs w:val="24"/>
        </w:rPr>
        <w:t>°C，一月平均气温15°C，七月平均气温29°C，极端最高气温38.1°C。极端最低气温2.8°C，年均相对湿度82～84%</w:t>
      </w:r>
      <w:r>
        <w:rPr>
          <w:rFonts w:hint="eastAsia"/>
          <w:sz w:val="24"/>
          <w:szCs w:val="24"/>
        </w:rPr>
        <w:t>；</w:t>
      </w:r>
      <w:r>
        <w:rPr>
          <w:sz w:val="24"/>
          <w:szCs w:val="24"/>
        </w:rPr>
        <w:t>多年平均降雨量</w:t>
      </w:r>
      <w:r>
        <w:rPr>
          <w:rFonts w:hint="eastAsia"/>
          <w:sz w:val="24"/>
          <w:szCs w:val="24"/>
        </w:rPr>
        <w:t>1654.2</w:t>
      </w:r>
      <w:r>
        <w:rPr>
          <w:sz w:val="24"/>
          <w:szCs w:val="24"/>
        </w:rPr>
        <w:t>mm，降雨多集中在4～9月，10～3月为</w:t>
      </w:r>
      <w:r>
        <w:rPr>
          <w:rFonts w:hint="eastAsia"/>
          <w:sz w:val="24"/>
          <w:szCs w:val="24"/>
        </w:rPr>
        <w:t>旱</w:t>
      </w:r>
      <w:r>
        <w:rPr>
          <w:sz w:val="24"/>
          <w:szCs w:val="24"/>
        </w:rPr>
        <w:t>季，8月份雨量最多，12月最少</w:t>
      </w:r>
      <w:r>
        <w:rPr>
          <w:rFonts w:hint="eastAsia"/>
          <w:sz w:val="24"/>
          <w:szCs w:val="24"/>
        </w:rPr>
        <w:t>。</w:t>
      </w:r>
      <w:r>
        <w:rPr>
          <w:sz w:val="24"/>
          <w:szCs w:val="24"/>
        </w:rPr>
        <w:t>据</w:t>
      </w:r>
      <w:r>
        <w:rPr>
          <w:rFonts w:hint="eastAsia"/>
          <w:sz w:val="24"/>
          <w:szCs w:val="24"/>
        </w:rPr>
        <w:t>《广东省水文图集》，</w:t>
      </w:r>
      <w:r>
        <w:rPr>
          <w:sz w:val="24"/>
          <w:szCs w:val="24"/>
        </w:rPr>
        <w:t>项目区1h点雨量</w:t>
      </w:r>
      <w:r>
        <w:rPr>
          <w:rFonts w:hint="eastAsia"/>
          <w:sz w:val="24"/>
          <w:szCs w:val="24"/>
        </w:rPr>
        <w:t>平均为65.9</w:t>
      </w:r>
      <w:r>
        <w:rPr>
          <w:sz w:val="24"/>
          <w:szCs w:val="24"/>
        </w:rPr>
        <w:t>mm，变差系数0.</w:t>
      </w:r>
      <w:r>
        <w:rPr>
          <w:rFonts w:hint="eastAsia"/>
          <w:sz w:val="24"/>
          <w:szCs w:val="24"/>
        </w:rPr>
        <w:t>33</w:t>
      </w:r>
      <w:r>
        <w:rPr>
          <w:sz w:val="24"/>
          <w:szCs w:val="24"/>
        </w:rPr>
        <w:t>(CS/CV=3.5)，K</w:t>
      </w:r>
      <w:r>
        <w:rPr>
          <w:rFonts w:hint="eastAsia"/>
          <w:sz w:val="24"/>
          <w:szCs w:val="24"/>
        </w:rPr>
        <w:t>10</w:t>
      </w:r>
      <w:r>
        <w:rPr>
          <w:sz w:val="24"/>
          <w:szCs w:val="24"/>
        </w:rPr>
        <w:t>=</w:t>
      </w:r>
      <w:r>
        <w:rPr>
          <w:rFonts w:hint="eastAsia"/>
          <w:sz w:val="24"/>
          <w:szCs w:val="24"/>
        </w:rPr>
        <w:t>1.443，设计降雨强度95.09mm。</w:t>
      </w:r>
    </w:p>
    <w:p>
      <w:pPr>
        <w:bidi w:val="0"/>
        <w:rPr>
          <w:sz w:val="24"/>
          <w:szCs w:val="24"/>
        </w:rPr>
      </w:pPr>
      <w:r>
        <w:rPr>
          <w:sz w:val="24"/>
          <w:szCs w:val="24"/>
        </w:rPr>
        <w:t>夏秋台风为主要自然灾害，根据湛江气象台提供的风况资料显示，夏季盛行东南风，冬季盛行偏北风，全年最多为东风和东南风，强风向为东风和东北东风。最大登陆强台风极大风速为50.4m/s。</w:t>
      </w:r>
    </w:p>
    <w:p>
      <w:pPr>
        <w:bidi w:val="0"/>
        <w:rPr>
          <w:rFonts w:hint="eastAsia"/>
          <w:b w:val="0"/>
          <w:bCs w:val="0"/>
          <w:lang w:val="en-US" w:eastAsia="zh-CN"/>
        </w:rPr>
      </w:pPr>
      <w:r>
        <w:rPr>
          <w:rFonts w:hint="eastAsia"/>
          <w:b w:val="0"/>
          <w:bCs w:val="0"/>
          <w:lang w:val="en-US" w:eastAsia="zh-CN"/>
        </w:rPr>
        <w:t>4、水文</w:t>
      </w:r>
    </w:p>
    <w:p>
      <w:pPr>
        <w:spacing w:line="360" w:lineRule="auto"/>
        <w:ind w:firstLine="480" w:firstLineChars="200"/>
        <w:rPr>
          <w:rFonts w:hint="eastAsia"/>
          <w:sz w:val="24"/>
          <w:szCs w:val="24"/>
        </w:rPr>
      </w:pPr>
      <w:r>
        <w:rPr>
          <w:rFonts w:hint="eastAsia"/>
          <w:sz w:val="24"/>
          <w:szCs w:val="24"/>
        </w:rPr>
        <w:t>湛江市境内河流众多，但大多数属于集水面积小，源流短、水量小、落差不大的小溪、小河。集水面积在100km</w:t>
      </w:r>
      <w:r>
        <w:rPr>
          <w:rFonts w:hint="eastAsia"/>
          <w:sz w:val="24"/>
          <w:szCs w:val="24"/>
          <w:vertAlign w:val="superscript"/>
        </w:rPr>
        <w:t>2</w:t>
      </w:r>
      <w:r>
        <w:rPr>
          <w:rFonts w:hint="eastAsia"/>
          <w:sz w:val="24"/>
          <w:szCs w:val="24"/>
        </w:rPr>
        <w:t>上的干支流共40条，500~1000km</w:t>
      </w:r>
      <w:r>
        <w:rPr>
          <w:rFonts w:hint="eastAsia"/>
          <w:sz w:val="24"/>
          <w:szCs w:val="24"/>
          <w:vertAlign w:val="superscript"/>
        </w:rPr>
        <w:t>2</w:t>
      </w:r>
      <w:r>
        <w:rPr>
          <w:rFonts w:hint="eastAsia"/>
          <w:sz w:val="24"/>
          <w:szCs w:val="24"/>
        </w:rPr>
        <w:t>以上的河流共有１条，1000km</w:t>
      </w:r>
      <w:r>
        <w:rPr>
          <w:rFonts w:hint="eastAsia"/>
          <w:sz w:val="24"/>
          <w:szCs w:val="24"/>
          <w:vertAlign w:val="superscript"/>
        </w:rPr>
        <w:t>2</w:t>
      </w:r>
      <w:r>
        <w:rPr>
          <w:rFonts w:hint="eastAsia"/>
          <w:sz w:val="24"/>
          <w:szCs w:val="24"/>
        </w:rPr>
        <w:t>以上的河流共6条，独流入海的有22条。东北部的鉴江，西北部的九洲江，分别发源于信宜和广西，均由北向南出境入海，流域面积分别为9464km</w:t>
      </w:r>
      <w:r>
        <w:rPr>
          <w:rFonts w:hint="eastAsia"/>
          <w:sz w:val="24"/>
          <w:szCs w:val="24"/>
          <w:vertAlign w:val="superscript"/>
        </w:rPr>
        <w:t>2</w:t>
      </w:r>
      <w:r>
        <w:rPr>
          <w:rFonts w:hint="eastAsia"/>
          <w:sz w:val="24"/>
          <w:szCs w:val="24"/>
        </w:rPr>
        <w:t>和 3113km</w:t>
      </w:r>
      <w:r>
        <w:rPr>
          <w:rFonts w:hint="eastAsia"/>
          <w:sz w:val="24"/>
          <w:szCs w:val="24"/>
          <w:vertAlign w:val="superscript"/>
        </w:rPr>
        <w:t>2</w:t>
      </w:r>
      <w:r>
        <w:rPr>
          <w:rFonts w:hint="eastAsia"/>
          <w:sz w:val="24"/>
          <w:szCs w:val="24"/>
        </w:rPr>
        <w:t>；源于湛江中部的南渡河由半岛的西北向东南流入大海，流域面积为1444km</w:t>
      </w:r>
      <w:r>
        <w:rPr>
          <w:rFonts w:hint="eastAsia"/>
          <w:sz w:val="24"/>
          <w:szCs w:val="24"/>
          <w:vertAlign w:val="superscript"/>
        </w:rPr>
        <w:t>2</w:t>
      </w:r>
      <w:r>
        <w:rPr>
          <w:rFonts w:hint="eastAsia"/>
          <w:sz w:val="24"/>
          <w:szCs w:val="24"/>
        </w:rPr>
        <w:t>；遂溪河亦称西溪河，源于廉江市独牛岭，流域面积为1486 km</w:t>
      </w:r>
      <w:r>
        <w:rPr>
          <w:rFonts w:hint="eastAsia"/>
          <w:sz w:val="24"/>
          <w:szCs w:val="24"/>
          <w:vertAlign w:val="superscript"/>
        </w:rPr>
        <w:t>2</w:t>
      </w:r>
      <w:r>
        <w:rPr>
          <w:rFonts w:hint="eastAsia"/>
          <w:sz w:val="24"/>
          <w:szCs w:val="24"/>
        </w:rPr>
        <w:t>。</w:t>
      </w:r>
    </w:p>
    <w:p>
      <w:pPr>
        <w:ind w:firstLine="480"/>
        <w:rPr>
          <w:sz w:val="22"/>
          <w:szCs w:val="21"/>
        </w:rPr>
      </w:pPr>
      <w:r>
        <w:rPr>
          <w:rFonts w:hint="eastAsia"/>
          <w:sz w:val="24"/>
          <w:szCs w:val="24"/>
        </w:rPr>
        <w:t>东海岛是一个平坦而开阔的大海岛，面积286km</w:t>
      </w:r>
      <w:r>
        <w:rPr>
          <w:rFonts w:hint="eastAsia"/>
          <w:sz w:val="24"/>
          <w:szCs w:val="24"/>
          <w:vertAlign w:val="superscript"/>
        </w:rPr>
        <w:t>2</w:t>
      </w:r>
      <w:r>
        <w:rPr>
          <w:rFonts w:hint="eastAsia"/>
          <w:sz w:val="24"/>
          <w:szCs w:val="24"/>
        </w:rPr>
        <w:t>，在全国排行第五，四周环海，岛内无较大河流，以源近流短的季节性沟谷溪流为主，且流量较小</w:t>
      </w:r>
      <w:r>
        <w:rPr>
          <w:sz w:val="24"/>
          <w:szCs w:val="24"/>
        </w:rPr>
        <w:t>。</w:t>
      </w:r>
    </w:p>
    <w:p>
      <w:pPr>
        <w:bidi w:val="0"/>
        <w:rPr>
          <w:rFonts w:hint="default"/>
          <w:b w:val="0"/>
          <w:bCs w:val="0"/>
          <w:lang w:val="en-US" w:eastAsia="zh-CN"/>
        </w:rPr>
      </w:pPr>
      <w:r>
        <w:rPr>
          <w:rFonts w:hint="eastAsia"/>
          <w:b w:val="0"/>
          <w:bCs w:val="0"/>
          <w:lang w:val="en-US" w:eastAsia="zh-CN"/>
        </w:rPr>
        <w:t>5、土壤、植被</w:t>
      </w:r>
    </w:p>
    <w:p>
      <w:pPr>
        <w:spacing w:line="360" w:lineRule="auto"/>
        <w:ind w:firstLine="480" w:firstLineChars="200"/>
        <w:rPr>
          <w:rFonts w:hint="eastAsia"/>
          <w:sz w:val="24"/>
          <w:szCs w:val="24"/>
        </w:rPr>
      </w:pPr>
      <w:bookmarkStart w:id="24" w:name="_Toc19625"/>
      <w:bookmarkStart w:id="25" w:name="_Toc44318475"/>
      <w:bookmarkStart w:id="26" w:name="_Toc21732"/>
      <w:r>
        <w:rPr>
          <w:rFonts w:hint="eastAsia"/>
          <w:sz w:val="24"/>
          <w:szCs w:val="24"/>
        </w:rPr>
        <w:t>项目区主要土壤类型为砖红壤、园土和水稻土，</w:t>
      </w:r>
      <w:r>
        <w:rPr>
          <w:sz w:val="24"/>
          <w:szCs w:val="24"/>
        </w:rPr>
        <w:t>浅海沉积交界处为沙壤土</w:t>
      </w:r>
      <w:r>
        <w:rPr>
          <w:rFonts w:hint="eastAsia"/>
          <w:sz w:val="24"/>
          <w:szCs w:val="24"/>
        </w:rPr>
        <w:t>，</w:t>
      </w:r>
      <w:r>
        <w:rPr>
          <w:sz w:val="24"/>
          <w:szCs w:val="24"/>
        </w:rPr>
        <w:t>矿产有锆石、石英沙</w:t>
      </w:r>
      <w:r>
        <w:rPr>
          <w:rFonts w:hint="eastAsia"/>
          <w:sz w:val="24"/>
          <w:szCs w:val="24"/>
        </w:rPr>
        <w:t>。砖红壤一般分布在低丘山岗上，表层有机质较薄，一般只有1</w:t>
      </w:r>
      <w:r>
        <w:rPr>
          <w:sz w:val="24"/>
          <w:szCs w:val="24"/>
        </w:rPr>
        <w:t>～</w:t>
      </w:r>
      <w:r>
        <w:rPr>
          <w:rFonts w:hint="eastAsia"/>
          <w:sz w:val="24"/>
          <w:szCs w:val="24"/>
        </w:rPr>
        <w:t>2cm。园土又称菜园土，分布在山岗的中、下部或低平的漫岗地，土壤质地为沙壤或轻壤土，土质松软肥沃。水稻土分布于山岗之间低洼谷地，海拔高度为1</w:t>
      </w:r>
      <w:r>
        <w:rPr>
          <w:sz w:val="24"/>
          <w:szCs w:val="24"/>
        </w:rPr>
        <w:t>～</w:t>
      </w:r>
      <w:r>
        <w:rPr>
          <w:rFonts w:hint="eastAsia"/>
          <w:sz w:val="24"/>
          <w:szCs w:val="24"/>
        </w:rPr>
        <w:t>10m，土壤母质多为冲击沉积物，该类型土壤较肥沃，为主要粮产地土壤。项目区土壤以砖红壤为主。</w:t>
      </w:r>
    </w:p>
    <w:p>
      <w:pPr>
        <w:pStyle w:val="4"/>
        <w:ind w:firstLine="480" w:firstLineChars="200"/>
        <w:rPr>
          <w:rFonts w:hint="default" w:ascii="Times New Roman" w:hAnsi="Times New Roman" w:cs="Times New Roman"/>
          <w:b w:val="0"/>
          <w:bCs/>
          <w:sz w:val="24"/>
          <w:szCs w:val="24"/>
        </w:rPr>
      </w:pPr>
      <w:r>
        <w:rPr>
          <w:rFonts w:hint="default" w:ascii="Times New Roman" w:hAnsi="Times New Roman" w:cs="Times New Roman"/>
          <w:b w:val="0"/>
          <w:bCs/>
          <w:sz w:val="24"/>
          <w:szCs w:val="24"/>
        </w:rPr>
        <w:t>项目区地带性植物属南亚热带常绿阔叶林，植被主要有木麻黄、桉树、相思、湿地松、香蕉等。本项目现状荒草地、林地为主，林地为桉树林。植被覆盖度平均为80%以上。</w:t>
      </w:r>
    </w:p>
    <w:p>
      <w:pPr>
        <w:pStyle w:val="4"/>
      </w:pPr>
      <w:r>
        <w:t>1.2 水土流失防治工作情况</w:t>
      </w:r>
      <w:bookmarkEnd w:id="24"/>
      <w:bookmarkEnd w:id="25"/>
      <w:bookmarkEnd w:id="26"/>
    </w:p>
    <w:p>
      <w:pPr>
        <w:pStyle w:val="5"/>
        <w:spacing w:line="360" w:lineRule="auto"/>
        <w:rPr>
          <w:rFonts w:eastAsia="仿宋_GB2312"/>
          <w:color w:val="000000"/>
          <w:sz w:val="24"/>
          <w:szCs w:val="24"/>
        </w:rPr>
      </w:pPr>
      <w:bookmarkStart w:id="27" w:name="_Toc259169373"/>
      <w:bookmarkStart w:id="28" w:name="_Toc32549"/>
      <w:bookmarkStart w:id="29" w:name="_Toc258997162"/>
      <w:r>
        <w:rPr>
          <w:rFonts w:eastAsia="仿宋_GB2312"/>
          <w:color w:val="000000"/>
          <w:sz w:val="24"/>
          <w:szCs w:val="24"/>
        </w:rPr>
        <w:t>1.2.1 水土保持方案</w:t>
      </w:r>
      <w:bookmarkEnd w:id="27"/>
      <w:bookmarkEnd w:id="28"/>
      <w:bookmarkEnd w:id="29"/>
      <w:r>
        <w:rPr>
          <w:rFonts w:eastAsia="仿宋_GB2312"/>
          <w:color w:val="000000"/>
          <w:sz w:val="24"/>
          <w:szCs w:val="24"/>
        </w:rPr>
        <w:t>编报情况</w:t>
      </w:r>
    </w:p>
    <w:p>
      <w:pPr>
        <w:pStyle w:val="9"/>
        <w:rPr>
          <w:rFonts w:hint="eastAsia" w:eastAsia="仿宋_GB2312"/>
          <w:sz w:val="24"/>
          <w:szCs w:val="24"/>
        </w:rPr>
      </w:pPr>
      <w:r>
        <w:rPr>
          <w:rFonts w:eastAsia="仿宋_GB2312"/>
          <w:sz w:val="24"/>
          <w:szCs w:val="24"/>
        </w:rPr>
        <w:t>根据《中华人民共和国水土保持法》、《中华人民共和国水土保持法实施条例》、《开发建设项目水土保持方案编报审批管理规定》等有关法律法规的要求，201</w:t>
      </w:r>
      <w:r>
        <w:rPr>
          <w:rFonts w:hint="eastAsia" w:eastAsia="仿宋_GB2312"/>
          <w:sz w:val="24"/>
          <w:szCs w:val="24"/>
          <w:lang w:val="en-US" w:eastAsia="zh-CN"/>
        </w:rPr>
        <w:t>6</w:t>
      </w:r>
      <w:r>
        <w:rPr>
          <w:rFonts w:eastAsia="仿宋_GB2312"/>
          <w:sz w:val="24"/>
          <w:szCs w:val="24"/>
        </w:rPr>
        <w:t>年1</w:t>
      </w:r>
      <w:r>
        <w:rPr>
          <w:rFonts w:hint="eastAsia" w:eastAsia="仿宋_GB2312"/>
          <w:sz w:val="24"/>
          <w:szCs w:val="24"/>
          <w:lang w:val="en-US" w:eastAsia="zh-CN"/>
        </w:rPr>
        <w:t>0</w:t>
      </w:r>
      <w:r>
        <w:rPr>
          <w:rFonts w:eastAsia="仿宋_GB2312"/>
          <w:sz w:val="24"/>
          <w:szCs w:val="24"/>
        </w:rPr>
        <w:t>月，</w:t>
      </w:r>
      <w:r>
        <w:rPr>
          <w:rFonts w:hint="eastAsia" w:eastAsia="仿宋_GB2312"/>
          <w:sz w:val="24"/>
          <w:szCs w:val="24"/>
          <w:lang w:eastAsia="zh-CN"/>
        </w:rPr>
        <w:t>湛江开发区园区建设投资有限公司</w:t>
      </w:r>
      <w:r>
        <w:rPr>
          <w:rFonts w:eastAsia="仿宋_GB2312"/>
          <w:sz w:val="24"/>
          <w:szCs w:val="24"/>
        </w:rPr>
        <w:t>委托</w:t>
      </w:r>
      <w:r>
        <w:rPr>
          <w:rFonts w:hint="eastAsia" w:eastAsia="仿宋_GB2312" w:cs="Times New Roman"/>
          <w:color w:val="auto"/>
          <w:sz w:val="24"/>
          <w:szCs w:val="24"/>
          <w:lang w:eastAsia="zh-CN"/>
        </w:rPr>
        <w:t>深圳鹏达信能源环保科技有限公司</w:t>
      </w:r>
      <w:r>
        <w:rPr>
          <w:rFonts w:eastAsia="仿宋_GB2312"/>
          <w:sz w:val="24"/>
          <w:szCs w:val="24"/>
        </w:rPr>
        <w:t>编报《</w:t>
      </w:r>
      <w:r>
        <w:rPr>
          <w:rFonts w:hint="eastAsia" w:eastAsia="仿宋_GB2312"/>
          <w:sz w:val="24"/>
          <w:szCs w:val="24"/>
          <w:lang w:eastAsia="zh-CN"/>
        </w:rPr>
        <w:t>东海岛15万m³/d 自来水厂工程</w:t>
      </w:r>
      <w:r>
        <w:rPr>
          <w:rFonts w:eastAsia="仿宋_GB2312"/>
          <w:sz w:val="24"/>
          <w:szCs w:val="24"/>
        </w:rPr>
        <w:t>水土保持方案报告书》；20</w:t>
      </w:r>
      <w:r>
        <w:rPr>
          <w:rFonts w:hint="eastAsia" w:eastAsia="仿宋_GB2312"/>
          <w:sz w:val="24"/>
          <w:szCs w:val="24"/>
          <w:lang w:val="en-US" w:eastAsia="zh-CN"/>
        </w:rPr>
        <w:t>17</w:t>
      </w:r>
      <w:r>
        <w:rPr>
          <w:rFonts w:eastAsia="仿宋_GB2312"/>
          <w:sz w:val="24"/>
          <w:szCs w:val="24"/>
        </w:rPr>
        <w:t>年</w:t>
      </w:r>
      <w:r>
        <w:rPr>
          <w:rFonts w:hint="eastAsia" w:eastAsia="仿宋_GB2312"/>
          <w:sz w:val="24"/>
          <w:szCs w:val="24"/>
          <w:lang w:val="en-US" w:eastAsia="zh-CN"/>
        </w:rPr>
        <w:t>3</w:t>
      </w:r>
      <w:r>
        <w:rPr>
          <w:rFonts w:eastAsia="仿宋_GB2312"/>
          <w:sz w:val="24"/>
          <w:szCs w:val="24"/>
        </w:rPr>
        <w:t>月</w:t>
      </w:r>
      <w:r>
        <w:rPr>
          <w:rFonts w:hint="eastAsia" w:eastAsia="仿宋_GB2312"/>
          <w:sz w:val="24"/>
          <w:szCs w:val="24"/>
          <w:lang w:val="en-US" w:eastAsia="zh-CN"/>
        </w:rPr>
        <w:t>22</w:t>
      </w:r>
      <w:r>
        <w:rPr>
          <w:rFonts w:eastAsia="仿宋_GB2312"/>
          <w:sz w:val="24"/>
          <w:szCs w:val="24"/>
        </w:rPr>
        <w:t>日，</w:t>
      </w:r>
      <w:r>
        <w:rPr>
          <w:rFonts w:hint="eastAsia" w:eastAsia="仿宋_GB2312"/>
          <w:sz w:val="24"/>
          <w:szCs w:val="24"/>
          <w:lang w:eastAsia="zh-CN"/>
        </w:rPr>
        <w:t>湛江市水务局</w:t>
      </w:r>
      <w:r>
        <w:rPr>
          <w:rFonts w:eastAsia="仿宋_GB2312"/>
          <w:sz w:val="24"/>
          <w:szCs w:val="24"/>
        </w:rPr>
        <w:t>以“</w:t>
      </w:r>
      <w:r>
        <w:rPr>
          <w:rFonts w:hint="eastAsia" w:eastAsia="仿宋_GB2312"/>
          <w:sz w:val="24"/>
          <w:szCs w:val="24"/>
          <w:lang w:val="en-US" w:eastAsia="zh-CN"/>
        </w:rPr>
        <w:t>湛水水保安监</w:t>
      </w:r>
      <w:r>
        <w:rPr>
          <w:rFonts w:hAnsi="宋体"/>
          <w:sz w:val="24"/>
          <w:szCs w:val="24"/>
        </w:rPr>
        <w:t>﹝</w:t>
      </w:r>
      <w:r>
        <w:rPr>
          <w:rFonts w:eastAsia="仿宋_GB2312"/>
          <w:sz w:val="24"/>
          <w:szCs w:val="24"/>
        </w:rPr>
        <w:t>20</w:t>
      </w:r>
      <w:r>
        <w:rPr>
          <w:rFonts w:hint="eastAsia" w:eastAsia="仿宋_GB2312"/>
          <w:sz w:val="24"/>
          <w:szCs w:val="24"/>
          <w:lang w:val="en-US" w:eastAsia="zh-CN"/>
        </w:rPr>
        <w:t>17</w:t>
      </w:r>
      <w:r>
        <w:rPr>
          <w:rFonts w:hAnsi="宋体"/>
          <w:sz w:val="24"/>
          <w:szCs w:val="24"/>
        </w:rPr>
        <w:t>﹞</w:t>
      </w:r>
      <w:r>
        <w:rPr>
          <w:rFonts w:hint="eastAsia" w:eastAsia="仿宋_GB2312"/>
          <w:sz w:val="24"/>
          <w:szCs w:val="24"/>
          <w:lang w:val="en-US" w:eastAsia="zh-CN"/>
        </w:rPr>
        <w:t>22</w:t>
      </w:r>
      <w:r>
        <w:rPr>
          <w:rFonts w:eastAsia="仿宋_GB2312"/>
          <w:sz w:val="24"/>
          <w:szCs w:val="24"/>
        </w:rPr>
        <w:t>号”对该方案报告书</w:t>
      </w:r>
      <w:r>
        <w:rPr>
          <w:rFonts w:hint="eastAsia" w:eastAsia="仿宋_GB2312"/>
          <w:sz w:val="24"/>
          <w:szCs w:val="24"/>
          <w:lang w:val="en-US" w:eastAsia="zh-CN"/>
        </w:rPr>
        <w:t>准予批复</w:t>
      </w:r>
      <w:r>
        <w:rPr>
          <w:rFonts w:hint="eastAsia" w:eastAsia="仿宋_GB2312"/>
          <w:sz w:val="24"/>
          <w:szCs w:val="24"/>
        </w:rPr>
        <w:t>。</w:t>
      </w:r>
    </w:p>
    <w:p>
      <w:pPr>
        <w:pStyle w:val="5"/>
        <w:spacing w:line="360" w:lineRule="auto"/>
        <w:rPr>
          <w:rFonts w:eastAsia="仿宋_GB2312"/>
          <w:color w:val="000000"/>
          <w:sz w:val="24"/>
          <w:szCs w:val="24"/>
        </w:rPr>
      </w:pPr>
      <w:r>
        <w:rPr>
          <w:rFonts w:eastAsia="仿宋_GB2312"/>
          <w:color w:val="000000"/>
          <w:sz w:val="24"/>
          <w:szCs w:val="24"/>
        </w:rPr>
        <w:t>1.2.2水土保持监测成果报送情况</w:t>
      </w:r>
    </w:p>
    <w:p>
      <w:pPr>
        <w:spacing w:line="360" w:lineRule="auto"/>
        <w:ind w:firstLine="480" w:firstLineChars="200"/>
        <w:rPr>
          <w:rFonts w:hint="eastAsia" w:eastAsia="仿宋_GB2312"/>
          <w:bCs/>
          <w:sz w:val="24"/>
          <w:highlight w:val="none"/>
          <w:lang w:eastAsia="zh-CN"/>
        </w:rPr>
      </w:pPr>
      <w:r>
        <w:rPr>
          <w:rFonts w:hint="eastAsia"/>
          <w:bCs/>
          <w:sz w:val="24"/>
          <w:highlight w:val="none"/>
          <w:lang w:val="en-US" w:eastAsia="zh-CN"/>
        </w:rPr>
        <w:t>2019</w:t>
      </w:r>
      <w:r>
        <w:rPr>
          <w:rFonts w:hint="eastAsia" w:eastAsia="仿宋_GB2312"/>
          <w:bCs/>
          <w:sz w:val="24"/>
          <w:highlight w:val="none"/>
        </w:rPr>
        <w:t>年</w:t>
      </w:r>
      <w:r>
        <w:rPr>
          <w:rFonts w:hint="eastAsia"/>
          <w:bCs/>
          <w:sz w:val="24"/>
          <w:highlight w:val="none"/>
          <w:lang w:val="en-US" w:eastAsia="zh-CN"/>
        </w:rPr>
        <w:t>12</w:t>
      </w:r>
      <w:r>
        <w:rPr>
          <w:rFonts w:hint="eastAsia" w:eastAsia="仿宋_GB2312"/>
          <w:bCs/>
          <w:sz w:val="24"/>
          <w:highlight w:val="none"/>
        </w:rPr>
        <w:t>月，</w:t>
      </w:r>
      <w:r>
        <w:rPr>
          <w:rFonts w:eastAsia="仿宋_GB2312"/>
          <w:bCs/>
          <w:sz w:val="24"/>
          <w:highlight w:val="none"/>
        </w:rPr>
        <w:t>建设单位委托</w:t>
      </w:r>
      <w:r>
        <w:rPr>
          <w:rFonts w:hint="eastAsia"/>
          <w:bCs/>
          <w:sz w:val="24"/>
          <w:highlight w:val="none"/>
          <w:lang w:eastAsia="zh-CN"/>
        </w:rPr>
        <w:t>广东环晟水利环境科技有限公司</w:t>
      </w:r>
      <w:r>
        <w:rPr>
          <w:rFonts w:eastAsia="仿宋_GB2312"/>
          <w:bCs/>
          <w:sz w:val="24"/>
          <w:highlight w:val="none"/>
        </w:rPr>
        <w:t>开展本工程水土保持监测工作，监测单位根据《生产建设项目水土保持监测规程（试行）》及相关文件开展水土保持监测工作。</w:t>
      </w:r>
      <w:r>
        <w:rPr>
          <w:rFonts w:hint="eastAsia" w:eastAsia="仿宋_GB2312"/>
          <w:bCs/>
          <w:sz w:val="24"/>
          <w:highlight w:val="none"/>
        </w:rPr>
        <w:t>20</w:t>
      </w:r>
      <w:r>
        <w:rPr>
          <w:rFonts w:hint="eastAsia"/>
          <w:bCs/>
          <w:sz w:val="24"/>
          <w:highlight w:val="none"/>
          <w:lang w:val="en-US" w:eastAsia="zh-CN"/>
        </w:rPr>
        <w:t>21</w:t>
      </w:r>
      <w:r>
        <w:rPr>
          <w:rFonts w:hint="eastAsia" w:eastAsia="仿宋_GB2312"/>
          <w:bCs/>
          <w:sz w:val="24"/>
          <w:highlight w:val="none"/>
        </w:rPr>
        <w:t>年</w:t>
      </w:r>
      <w:r>
        <w:rPr>
          <w:rFonts w:hint="eastAsia"/>
          <w:bCs/>
          <w:sz w:val="24"/>
          <w:highlight w:val="none"/>
          <w:lang w:val="en-US" w:eastAsia="zh-CN"/>
        </w:rPr>
        <w:t>2</w:t>
      </w:r>
      <w:r>
        <w:rPr>
          <w:rFonts w:hint="eastAsia" w:eastAsia="仿宋_GB2312"/>
          <w:bCs/>
          <w:sz w:val="24"/>
          <w:highlight w:val="none"/>
        </w:rPr>
        <w:t>月监测单位编制完成了《</w:t>
      </w:r>
      <w:r>
        <w:rPr>
          <w:rFonts w:hint="eastAsia"/>
          <w:bCs/>
          <w:sz w:val="24"/>
          <w:highlight w:val="none"/>
          <w:lang w:val="en-US" w:eastAsia="zh-CN"/>
        </w:rPr>
        <w:t>东海岛15万m³/d 自来水厂工程</w:t>
      </w:r>
      <w:r>
        <w:rPr>
          <w:rFonts w:hint="eastAsia" w:eastAsia="仿宋_GB2312"/>
          <w:bCs/>
          <w:sz w:val="24"/>
          <w:highlight w:val="none"/>
        </w:rPr>
        <w:t>监测总结报告》</w:t>
      </w:r>
      <w:r>
        <w:rPr>
          <w:rFonts w:hint="eastAsia"/>
          <w:bCs/>
          <w:sz w:val="24"/>
          <w:highlight w:val="none"/>
          <w:lang w:eastAsia="zh-CN"/>
        </w:rPr>
        <w:t>。</w:t>
      </w:r>
    </w:p>
    <w:p>
      <w:pPr>
        <w:pStyle w:val="5"/>
        <w:spacing w:line="360" w:lineRule="auto"/>
        <w:rPr>
          <w:rFonts w:eastAsia="仿宋_GB2312"/>
          <w:color w:val="000000"/>
          <w:sz w:val="24"/>
          <w:szCs w:val="24"/>
        </w:rPr>
      </w:pPr>
      <w:r>
        <w:rPr>
          <w:rFonts w:eastAsia="仿宋_GB2312"/>
          <w:color w:val="000000"/>
          <w:sz w:val="24"/>
          <w:szCs w:val="24"/>
        </w:rPr>
        <w:t>1.2.3 主体工程设计、变更、备案情况</w:t>
      </w:r>
    </w:p>
    <w:p>
      <w:pPr>
        <w:pStyle w:val="5"/>
        <w:spacing w:line="360" w:lineRule="auto"/>
        <w:rPr>
          <w:rFonts w:eastAsia="仿宋_GB2312"/>
          <w:color w:val="000000"/>
          <w:sz w:val="24"/>
          <w:szCs w:val="24"/>
        </w:rPr>
      </w:pPr>
      <w:r>
        <w:rPr>
          <w:rFonts w:eastAsia="仿宋_GB2312"/>
          <w:color w:val="000000"/>
          <w:sz w:val="24"/>
          <w:szCs w:val="24"/>
        </w:rPr>
        <w:t>1.2.4 水土保持工程建设过程</w:t>
      </w:r>
    </w:p>
    <w:p>
      <w:pPr>
        <w:pStyle w:val="24"/>
      </w:pPr>
      <w:r>
        <w:t>（1）工程管理</w:t>
      </w:r>
    </w:p>
    <w:p>
      <w:pPr>
        <w:pStyle w:val="24"/>
      </w:pPr>
      <w:r>
        <w:t>本项目在建设过程中，落实项目法人、设计单位、施工单位、监理单位的水土保持职责，强化对水土保持工程的管理，实行“项目法人负责，监理单位控制，施工单位保证，政府监督”的质量管理体系，促使水土保持措施基本按设计要求落实到位。</w:t>
      </w:r>
    </w:p>
    <w:p>
      <w:pPr>
        <w:pStyle w:val="24"/>
        <w:rPr>
          <w:highlight w:val="none"/>
        </w:rPr>
      </w:pPr>
      <w:r>
        <w:t>（2</w:t>
      </w:r>
      <w:r>
        <w:rPr>
          <w:highlight w:val="none"/>
        </w:rPr>
        <w:t>）参建单位</w:t>
      </w:r>
    </w:p>
    <w:p>
      <w:pPr>
        <w:pStyle w:val="24"/>
        <w:rPr>
          <w:rFonts w:hint="eastAsia" w:eastAsia="仿宋_GB2312"/>
          <w:highlight w:val="none"/>
          <w:lang w:eastAsia="zh-CN"/>
        </w:rPr>
      </w:pPr>
      <w:r>
        <w:rPr>
          <w:highlight w:val="none"/>
        </w:rPr>
        <w:t>工程建设单位：</w:t>
      </w:r>
      <w:r>
        <w:rPr>
          <w:rFonts w:hint="eastAsia"/>
          <w:highlight w:val="none"/>
          <w:lang w:val="en-US" w:eastAsia="zh-CN"/>
        </w:rPr>
        <w:t>湛江开发区园区建设投资有限公司</w:t>
      </w:r>
      <w:r>
        <w:rPr>
          <w:rFonts w:hint="eastAsia"/>
          <w:highlight w:val="none"/>
          <w:lang w:eastAsia="zh-CN"/>
        </w:rPr>
        <w:t>；</w:t>
      </w:r>
    </w:p>
    <w:p>
      <w:pPr>
        <w:pStyle w:val="24"/>
        <w:rPr>
          <w:rFonts w:hint="eastAsia" w:eastAsia="仿宋_GB2312"/>
          <w:highlight w:val="none"/>
          <w:lang w:eastAsia="zh-CN"/>
        </w:rPr>
      </w:pPr>
      <w:r>
        <w:rPr>
          <w:highlight w:val="none"/>
        </w:rPr>
        <w:t>主体工程设计单位：</w:t>
      </w:r>
      <w:r>
        <w:rPr>
          <w:rFonts w:hint="eastAsia"/>
          <w:highlight w:val="none"/>
          <w:lang w:eastAsia="zh-CN"/>
        </w:rPr>
        <w:t>北京市市政工程设计研究总院有限公司；</w:t>
      </w:r>
    </w:p>
    <w:p>
      <w:pPr>
        <w:pStyle w:val="24"/>
        <w:rPr>
          <w:rFonts w:hint="eastAsia" w:eastAsia="仿宋_GB2312"/>
          <w:highlight w:val="none"/>
          <w:lang w:eastAsia="zh-CN"/>
        </w:rPr>
      </w:pPr>
      <w:r>
        <w:rPr>
          <w:highlight w:val="none"/>
        </w:rPr>
        <w:t>水土保持方案编制单位：</w:t>
      </w:r>
      <w:r>
        <w:rPr>
          <w:rFonts w:hint="eastAsia"/>
          <w:b w:val="0"/>
          <w:bCs w:val="0"/>
          <w:color w:val="000000"/>
          <w:spacing w:val="0"/>
          <w:w w:val="100"/>
          <w:position w:val="0"/>
          <w:highlight w:val="none"/>
          <w:lang w:eastAsia="zh-CN"/>
        </w:rPr>
        <w:t>深圳鹏达信能源环保科技有限公司</w:t>
      </w:r>
      <w:r>
        <w:rPr>
          <w:rFonts w:hint="eastAsia"/>
          <w:highlight w:val="none"/>
          <w:lang w:eastAsia="zh-CN"/>
        </w:rPr>
        <w:t>；</w:t>
      </w:r>
    </w:p>
    <w:p>
      <w:pPr>
        <w:pStyle w:val="24"/>
        <w:rPr>
          <w:rFonts w:hint="eastAsia" w:eastAsia="仿宋_GB2312"/>
          <w:highlight w:val="none"/>
          <w:lang w:eastAsia="zh-CN"/>
        </w:rPr>
      </w:pPr>
      <w:r>
        <w:rPr>
          <w:highlight w:val="none"/>
        </w:rPr>
        <w:t>水土保持监测单位：</w:t>
      </w:r>
      <w:r>
        <w:rPr>
          <w:rFonts w:hint="eastAsia"/>
          <w:highlight w:val="none"/>
          <w:lang w:eastAsia="zh-CN"/>
        </w:rPr>
        <w:t>广东环晟水利环境科技有限公司；</w:t>
      </w:r>
    </w:p>
    <w:p>
      <w:pPr>
        <w:pStyle w:val="24"/>
        <w:rPr>
          <w:rFonts w:hint="eastAsia" w:eastAsia="仿宋_GB2312"/>
          <w:highlight w:val="none"/>
          <w:lang w:eastAsia="zh-CN"/>
        </w:rPr>
      </w:pPr>
      <w:r>
        <w:rPr>
          <w:highlight w:val="none"/>
        </w:rPr>
        <w:t>工程施工单位：</w:t>
      </w:r>
      <w:r>
        <w:rPr>
          <w:rFonts w:hint="eastAsia"/>
          <w:highlight w:val="none"/>
        </w:rPr>
        <w:t>北京市政建设集团有限责任公司</w:t>
      </w:r>
      <w:r>
        <w:rPr>
          <w:rFonts w:hint="eastAsia"/>
          <w:highlight w:val="none"/>
          <w:lang w:eastAsia="zh-CN"/>
        </w:rPr>
        <w:t>；</w:t>
      </w:r>
    </w:p>
    <w:p>
      <w:pPr>
        <w:pStyle w:val="24"/>
        <w:rPr>
          <w:highlight w:val="none"/>
        </w:rPr>
      </w:pPr>
      <w:r>
        <w:rPr>
          <w:highlight w:val="none"/>
        </w:rPr>
        <w:t>工程监理单位：</w:t>
      </w:r>
      <w:r>
        <w:rPr>
          <w:rFonts w:hint="eastAsia"/>
          <w:bCs/>
          <w:highlight w:val="none"/>
          <w:lang w:val="en-US" w:eastAsia="zh-CN"/>
        </w:rPr>
        <w:t>广州市市政工程监理有限公司</w:t>
      </w:r>
      <w:r>
        <w:rPr>
          <w:highlight w:val="none"/>
        </w:rPr>
        <w:t>。</w:t>
      </w:r>
    </w:p>
    <w:p>
      <w:pPr>
        <w:pStyle w:val="24"/>
      </w:pPr>
      <w:r>
        <w:t>（3）主要建设过程</w:t>
      </w:r>
    </w:p>
    <w:p>
      <w:pPr>
        <w:pStyle w:val="24"/>
        <w:rPr>
          <w:color w:val="auto"/>
        </w:rPr>
      </w:pPr>
      <w:r>
        <w:rPr>
          <w:color w:val="auto"/>
          <w:highlight w:val="none"/>
        </w:rPr>
        <w:t>工程于</w:t>
      </w:r>
      <w:r>
        <w:rPr>
          <w:rFonts w:hint="eastAsia"/>
          <w:color w:val="auto"/>
          <w:highlight w:val="none"/>
          <w:lang w:val="en-US" w:eastAsia="zh-CN"/>
        </w:rPr>
        <w:t>2017</w:t>
      </w:r>
      <w:r>
        <w:rPr>
          <w:color w:val="auto"/>
          <w:highlight w:val="none"/>
        </w:rPr>
        <w:t>年</w:t>
      </w:r>
      <w:r>
        <w:rPr>
          <w:rFonts w:hint="eastAsia"/>
          <w:color w:val="auto"/>
          <w:highlight w:val="none"/>
          <w:lang w:val="en-US" w:eastAsia="zh-CN"/>
        </w:rPr>
        <w:t>6</w:t>
      </w:r>
      <w:r>
        <w:rPr>
          <w:color w:val="auto"/>
          <w:highlight w:val="none"/>
        </w:rPr>
        <w:t>月，</w:t>
      </w:r>
      <w:r>
        <w:rPr>
          <w:rFonts w:hint="eastAsia"/>
          <w:color w:val="auto"/>
          <w:highlight w:val="none"/>
          <w:lang w:eastAsia="zh-CN"/>
        </w:rPr>
        <w:t>本项目</w:t>
      </w:r>
      <w:r>
        <w:rPr>
          <w:color w:val="auto"/>
          <w:highlight w:val="none"/>
        </w:rPr>
        <w:t>开始全面施工</w:t>
      </w:r>
      <w:r>
        <w:rPr>
          <w:rFonts w:hint="eastAsia"/>
          <w:color w:val="auto"/>
          <w:highlight w:val="none"/>
          <w:lang w:eastAsia="zh-CN"/>
        </w:rPr>
        <w:t>。</w:t>
      </w:r>
      <w:r>
        <w:rPr>
          <w:rFonts w:hint="eastAsia"/>
          <w:color w:val="auto"/>
          <w:highlight w:val="none"/>
          <w:lang w:val="en-US" w:eastAsia="zh-CN"/>
        </w:rPr>
        <w:t>2020</w:t>
      </w:r>
      <w:r>
        <w:rPr>
          <w:rFonts w:hint="eastAsia"/>
          <w:color w:val="auto"/>
          <w:highlight w:val="none"/>
        </w:rPr>
        <w:t>年</w:t>
      </w:r>
      <w:r>
        <w:rPr>
          <w:rFonts w:hint="eastAsia"/>
          <w:color w:val="auto"/>
          <w:highlight w:val="none"/>
          <w:lang w:val="en-US" w:eastAsia="zh-CN"/>
        </w:rPr>
        <w:t>12</w:t>
      </w:r>
      <w:r>
        <w:rPr>
          <w:rFonts w:hint="eastAsia"/>
          <w:color w:val="auto"/>
          <w:highlight w:val="none"/>
        </w:rPr>
        <w:t>月</w:t>
      </w:r>
      <w:r>
        <w:rPr>
          <w:color w:val="auto"/>
          <w:highlight w:val="none"/>
        </w:rPr>
        <w:t>，</w:t>
      </w:r>
      <w:r>
        <w:rPr>
          <w:rFonts w:hint="eastAsia"/>
          <w:color w:val="auto"/>
          <w:highlight w:val="none"/>
          <w:lang w:val="en-US" w:eastAsia="zh-CN"/>
        </w:rPr>
        <w:t>东海岛15万m³/d 自来水厂工程</w:t>
      </w:r>
      <w:r>
        <w:rPr>
          <w:color w:val="auto"/>
        </w:rPr>
        <w:t>范围内各项水土保持措施基本得到落实，水土流失防治得到控制</w:t>
      </w:r>
      <w:r>
        <w:rPr>
          <w:rFonts w:hint="eastAsia"/>
          <w:color w:val="auto"/>
          <w:lang w:eastAsia="zh-CN"/>
        </w:rPr>
        <w:t>，本项目</w:t>
      </w:r>
      <w:r>
        <w:rPr>
          <w:color w:val="auto"/>
        </w:rPr>
        <w:t>施工结束。</w:t>
      </w:r>
    </w:p>
    <w:p>
      <w:pPr>
        <w:pStyle w:val="4"/>
      </w:pPr>
      <w:bookmarkStart w:id="30" w:name="_Toc28167"/>
      <w:bookmarkStart w:id="31" w:name="_Toc44318476"/>
      <w:bookmarkStart w:id="32" w:name="_Toc30313"/>
      <w:r>
        <w:t>1.3 监测工作实施概况</w:t>
      </w:r>
      <w:bookmarkEnd w:id="30"/>
      <w:bookmarkEnd w:id="31"/>
      <w:bookmarkEnd w:id="32"/>
    </w:p>
    <w:p>
      <w:pPr>
        <w:pStyle w:val="5"/>
        <w:spacing w:line="360" w:lineRule="auto"/>
        <w:rPr>
          <w:rFonts w:eastAsia="仿宋_GB2312"/>
          <w:color w:val="000000"/>
          <w:sz w:val="24"/>
          <w:szCs w:val="24"/>
        </w:rPr>
      </w:pPr>
      <w:bookmarkStart w:id="33" w:name="_Toc482006580"/>
      <w:bookmarkStart w:id="34" w:name="_Toc456473035"/>
      <w:bookmarkStart w:id="35" w:name="_Toc482352098"/>
      <w:r>
        <w:rPr>
          <w:rFonts w:eastAsia="仿宋_GB2312"/>
          <w:color w:val="000000"/>
          <w:sz w:val="24"/>
          <w:szCs w:val="24"/>
        </w:rPr>
        <w:t>1.3.1监测实施方案执行情况</w:t>
      </w:r>
      <w:bookmarkEnd w:id="33"/>
      <w:bookmarkEnd w:id="34"/>
      <w:bookmarkEnd w:id="35"/>
    </w:p>
    <w:p>
      <w:pPr>
        <w:pStyle w:val="24"/>
      </w:pPr>
      <w:r>
        <w:t>为保证经济建设与环境保</w:t>
      </w:r>
      <w:r>
        <w:rPr>
          <w:rFonts w:hint="eastAsia"/>
          <w:lang w:val="en-US" w:eastAsia="zh-CN"/>
        </w:rPr>
        <w:t>护，2019</w:t>
      </w:r>
      <w:r>
        <w:t>年</w:t>
      </w:r>
      <w:r>
        <w:rPr>
          <w:rFonts w:hint="eastAsia"/>
          <w:lang w:val="en-US" w:eastAsia="zh-CN"/>
        </w:rPr>
        <w:t>12</w:t>
      </w:r>
      <w:r>
        <w:t>月，建设单位委托</w:t>
      </w:r>
      <w:r>
        <w:rPr>
          <w:rFonts w:hint="eastAsia"/>
          <w:lang w:eastAsia="zh-CN"/>
        </w:rPr>
        <w:t>我</w:t>
      </w:r>
      <w:r>
        <w:t>司对项目开始进行水土保持监测工作。接受委托后，我司随即成立监测组，组织专业技术人员至施工现场进行全面调查，了解工程建设</w:t>
      </w:r>
      <w:r>
        <w:rPr>
          <w:rFonts w:hint="eastAsia"/>
          <w:lang w:val="en-US" w:eastAsia="zh-CN"/>
        </w:rPr>
        <w:t>时相关</w:t>
      </w:r>
      <w:r>
        <w:t>情况，收集项目水土保持相关技术资料。根据实地调查水土保持措施落实情况及防治效果，</w:t>
      </w:r>
      <w:r>
        <w:rPr>
          <w:rFonts w:hint="eastAsia"/>
          <w:lang w:val="en-US" w:eastAsia="zh-CN"/>
        </w:rPr>
        <w:t>于</w:t>
      </w:r>
      <w:r>
        <w:t>20</w:t>
      </w:r>
      <w:r>
        <w:rPr>
          <w:rFonts w:hint="eastAsia"/>
          <w:lang w:eastAsia="zh-CN"/>
        </w:rPr>
        <w:t>2</w:t>
      </w:r>
      <w:r>
        <w:rPr>
          <w:rFonts w:hint="eastAsia"/>
          <w:lang w:val="en-US" w:eastAsia="zh-CN"/>
        </w:rPr>
        <w:t>1</w:t>
      </w:r>
      <w:r>
        <w:t>年</w:t>
      </w:r>
      <w:r>
        <w:rPr>
          <w:rFonts w:hint="eastAsia"/>
          <w:lang w:val="en-US" w:eastAsia="zh-CN"/>
        </w:rPr>
        <w:t>2</w:t>
      </w:r>
      <w:r>
        <w:t>月，经过内业资料收集、查阅及分析，编写完成《</w:t>
      </w:r>
      <w:r>
        <w:rPr>
          <w:rFonts w:hint="eastAsia"/>
          <w:lang w:val="en-US" w:eastAsia="zh-CN"/>
        </w:rPr>
        <w:t>东海岛15万m³/d 自来水厂工程</w:t>
      </w:r>
      <w:r>
        <w:t>水土保持监测总结报告》。</w:t>
      </w:r>
    </w:p>
    <w:p>
      <w:pPr>
        <w:pStyle w:val="5"/>
        <w:spacing w:line="360" w:lineRule="auto"/>
        <w:rPr>
          <w:rFonts w:eastAsia="仿宋_GB2312"/>
          <w:color w:val="000000"/>
          <w:sz w:val="24"/>
          <w:szCs w:val="24"/>
        </w:rPr>
      </w:pPr>
      <w:bookmarkStart w:id="36" w:name="_Toc482006581"/>
      <w:bookmarkStart w:id="37" w:name="_Toc456473036"/>
      <w:bookmarkStart w:id="38" w:name="_Toc482352099"/>
      <w:r>
        <w:rPr>
          <w:rFonts w:eastAsia="仿宋_GB2312"/>
          <w:color w:val="000000"/>
          <w:sz w:val="24"/>
          <w:szCs w:val="24"/>
        </w:rPr>
        <w:t>1.3.2监测项目部设置</w:t>
      </w:r>
      <w:bookmarkEnd w:id="36"/>
      <w:bookmarkEnd w:id="37"/>
      <w:bookmarkEnd w:id="38"/>
    </w:p>
    <w:p>
      <w:r>
        <w:t>我司接受委托后，于20</w:t>
      </w:r>
      <w:r>
        <w:rPr>
          <w:rFonts w:hint="eastAsia"/>
          <w:lang w:val="en-US" w:eastAsia="zh-CN"/>
        </w:rPr>
        <w:t>19</w:t>
      </w:r>
      <w:r>
        <w:t>年</w:t>
      </w:r>
      <w:r>
        <w:rPr>
          <w:rFonts w:hint="eastAsia"/>
          <w:lang w:val="en-US" w:eastAsia="zh-CN"/>
        </w:rPr>
        <w:t>12</w:t>
      </w:r>
      <w:r>
        <w:t>月成立本项目水土保持监测项目部，项目部由</w:t>
      </w:r>
      <w:r>
        <w:rPr>
          <w:rFonts w:hint="eastAsia"/>
          <w:lang w:val="en-US" w:eastAsia="zh-CN"/>
        </w:rPr>
        <w:t>钟文雅</w:t>
      </w:r>
      <w:r>
        <w:t>、</w:t>
      </w:r>
      <w:r>
        <w:rPr>
          <w:rFonts w:hint="eastAsia"/>
          <w:lang w:eastAsia="zh-CN"/>
        </w:rPr>
        <w:t>李星辉</w:t>
      </w:r>
      <w:r>
        <w:t>、姚刚等技术人员组成。</w:t>
      </w:r>
    </w:p>
    <w:p>
      <w:pPr>
        <w:ind w:left="0" w:leftChars="0" w:firstLine="0" w:firstLineChars="0"/>
        <w:jc w:val="center"/>
      </w:pPr>
      <w:r>
        <w:t xml:space="preserve">表1.3- </w:t>
      </w:r>
      <w:r>
        <w:fldChar w:fldCharType="begin"/>
      </w:r>
      <w:r>
        <w:instrText xml:space="preserve"> SEQ 表1.3- \* ARABIC </w:instrText>
      </w:r>
      <w:r>
        <w:fldChar w:fldCharType="separate"/>
      </w:r>
      <w:r>
        <w:t>1</w:t>
      </w:r>
      <w:r>
        <w:fldChar w:fldCharType="end"/>
      </w:r>
      <w:r>
        <w:t>监测项目部人员组成</w:t>
      </w:r>
    </w:p>
    <w:tbl>
      <w:tblPr>
        <w:tblStyle w:val="13"/>
        <w:tblW w:w="4999"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512"/>
        <w:gridCol w:w="4964"/>
        <w:gridCol w:w="204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887" w:type="pct"/>
            <w:noWrap/>
            <w:vAlign w:val="center"/>
          </w:tcPr>
          <w:p>
            <w:pPr>
              <w:pStyle w:val="17"/>
              <w:bidi w:val="0"/>
            </w:pPr>
            <w:r>
              <w:t>姓名</w:t>
            </w:r>
          </w:p>
        </w:tc>
        <w:tc>
          <w:tcPr>
            <w:tcW w:w="2912" w:type="pct"/>
            <w:noWrap/>
            <w:vAlign w:val="center"/>
          </w:tcPr>
          <w:p>
            <w:pPr>
              <w:pStyle w:val="17"/>
              <w:bidi w:val="0"/>
            </w:pPr>
            <w:r>
              <w:t>在本工程中的分工</w:t>
            </w:r>
          </w:p>
        </w:tc>
        <w:tc>
          <w:tcPr>
            <w:tcW w:w="1199" w:type="pct"/>
            <w:noWrap/>
            <w:vAlign w:val="center"/>
          </w:tcPr>
          <w:p>
            <w:pPr>
              <w:pStyle w:val="17"/>
              <w:bidi w:val="0"/>
            </w:pPr>
            <w:r>
              <w:t>职称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887" w:type="pct"/>
            <w:noWrap/>
            <w:vAlign w:val="center"/>
          </w:tcPr>
          <w:p>
            <w:pPr>
              <w:pStyle w:val="17"/>
              <w:bidi w:val="0"/>
              <w:rPr>
                <w:rFonts w:hint="eastAsia" w:eastAsia="仿宋_GB2312"/>
                <w:lang w:eastAsia="zh-CN"/>
              </w:rPr>
            </w:pPr>
            <w:r>
              <w:rPr>
                <w:rFonts w:hint="eastAsia"/>
                <w:lang w:eastAsia="zh-CN"/>
              </w:rPr>
              <w:t>王辉文</w:t>
            </w:r>
          </w:p>
        </w:tc>
        <w:tc>
          <w:tcPr>
            <w:tcW w:w="2912" w:type="pct"/>
            <w:noWrap/>
            <w:vAlign w:val="center"/>
          </w:tcPr>
          <w:p>
            <w:pPr>
              <w:pStyle w:val="17"/>
              <w:bidi w:val="0"/>
            </w:pPr>
            <w:r>
              <w:t>项目负责人、监测报告核定</w:t>
            </w:r>
          </w:p>
        </w:tc>
        <w:tc>
          <w:tcPr>
            <w:tcW w:w="1199" w:type="pct"/>
            <w:noWrap/>
            <w:vAlign w:val="center"/>
          </w:tcPr>
          <w:p>
            <w:pPr>
              <w:pStyle w:val="17"/>
              <w:bidi w:val="0"/>
            </w:pPr>
            <w: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887" w:type="pct"/>
            <w:noWrap/>
            <w:vAlign w:val="center"/>
          </w:tcPr>
          <w:p>
            <w:pPr>
              <w:pStyle w:val="17"/>
              <w:bidi w:val="0"/>
              <w:rPr>
                <w:rFonts w:hint="eastAsia" w:eastAsia="仿宋_GB2312"/>
                <w:lang w:eastAsia="zh-CN"/>
              </w:rPr>
            </w:pPr>
            <w:r>
              <w:rPr>
                <w:rFonts w:hint="eastAsia"/>
                <w:lang w:eastAsia="zh-CN"/>
              </w:rPr>
              <w:t>范东成</w:t>
            </w:r>
          </w:p>
        </w:tc>
        <w:tc>
          <w:tcPr>
            <w:tcW w:w="2912" w:type="pct"/>
            <w:noWrap/>
            <w:vAlign w:val="center"/>
          </w:tcPr>
          <w:p>
            <w:pPr>
              <w:pStyle w:val="17"/>
              <w:bidi w:val="0"/>
            </w:pPr>
            <w:r>
              <w:t>监测报告</w:t>
            </w:r>
            <w:r>
              <w:rPr>
                <w:rFonts w:hint="default"/>
              </w:rPr>
              <w:t>校核</w:t>
            </w:r>
            <w:r>
              <w:t>、内业分析</w:t>
            </w:r>
          </w:p>
        </w:tc>
        <w:tc>
          <w:tcPr>
            <w:tcW w:w="1199" w:type="pct"/>
            <w:noWrap/>
            <w:vAlign w:val="center"/>
          </w:tcPr>
          <w:p>
            <w:pPr>
              <w:pStyle w:val="17"/>
              <w:bidi w:val="0"/>
            </w:pPr>
            <w: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887" w:type="pct"/>
            <w:noWrap/>
            <w:vAlign w:val="center"/>
          </w:tcPr>
          <w:p>
            <w:pPr>
              <w:pStyle w:val="17"/>
              <w:bidi w:val="0"/>
              <w:rPr>
                <w:rFonts w:hint="eastAsia" w:eastAsia="仿宋_GB2312"/>
                <w:lang w:eastAsia="zh-CN"/>
              </w:rPr>
            </w:pPr>
            <w:r>
              <w:rPr>
                <w:rFonts w:hint="eastAsia"/>
                <w:lang w:eastAsia="zh-CN"/>
              </w:rPr>
              <w:t>陆玲</w:t>
            </w:r>
          </w:p>
        </w:tc>
        <w:tc>
          <w:tcPr>
            <w:tcW w:w="2912" w:type="pct"/>
            <w:noWrap/>
            <w:vAlign w:val="center"/>
          </w:tcPr>
          <w:p>
            <w:pPr>
              <w:pStyle w:val="17"/>
              <w:bidi w:val="0"/>
            </w:pPr>
            <w:r>
              <w:t>现场监测人员、报告编写人员</w:t>
            </w:r>
          </w:p>
        </w:tc>
        <w:tc>
          <w:tcPr>
            <w:tcW w:w="1199" w:type="pct"/>
            <w:noWrap/>
            <w:vAlign w:val="center"/>
          </w:tcPr>
          <w:p>
            <w:pPr>
              <w:pStyle w:val="17"/>
              <w:bidi w:val="0"/>
            </w:pPr>
            <w: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887" w:type="pct"/>
            <w:noWrap/>
            <w:vAlign w:val="center"/>
          </w:tcPr>
          <w:p>
            <w:pPr>
              <w:pStyle w:val="17"/>
              <w:bidi w:val="0"/>
              <w:rPr>
                <w:rFonts w:hint="eastAsia" w:eastAsia="仿宋_GB2312"/>
                <w:lang w:eastAsia="zh-CN"/>
              </w:rPr>
            </w:pPr>
            <w:r>
              <w:rPr>
                <w:rFonts w:hint="eastAsia"/>
                <w:lang w:eastAsia="zh-CN"/>
              </w:rPr>
              <w:t>钟文雅</w:t>
            </w:r>
          </w:p>
        </w:tc>
        <w:tc>
          <w:tcPr>
            <w:tcW w:w="2912" w:type="pct"/>
            <w:noWrap/>
            <w:vAlign w:val="center"/>
          </w:tcPr>
          <w:p>
            <w:pPr>
              <w:pStyle w:val="17"/>
              <w:bidi w:val="0"/>
            </w:pPr>
            <w:r>
              <w:t>现场监测人员、报告编写人员</w:t>
            </w:r>
          </w:p>
        </w:tc>
        <w:tc>
          <w:tcPr>
            <w:tcW w:w="1199" w:type="pct"/>
            <w:noWrap/>
            <w:vAlign w:val="center"/>
          </w:tcPr>
          <w:p>
            <w:pPr>
              <w:pStyle w:val="17"/>
              <w:bidi w:val="0"/>
            </w:pPr>
            <w: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887" w:type="pct"/>
            <w:noWrap/>
            <w:vAlign w:val="center"/>
          </w:tcPr>
          <w:p>
            <w:pPr>
              <w:pStyle w:val="17"/>
              <w:bidi w:val="0"/>
              <w:rPr>
                <w:rFonts w:hint="eastAsia" w:eastAsia="仿宋_GB2312"/>
                <w:lang w:eastAsia="zh-CN"/>
              </w:rPr>
            </w:pPr>
            <w:r>
              <w:rPr>
                <w:rFonts w:hint="eastAsia"/>
                <w:lang w:eastAsia="zh-CN"/>
              </w:rPr>
              <w:t>李星辉</w:t>
            </w:r>
          </w:p>
        </w:tc>
        <w:tc>
          <w:tcPr>
            <w:tcW w:w="2912" w:type="pct"/>
            <w:noWrap/>
            <w:vAlign w:val="center"/>
          </w:tcPr>
          <w:p>
            <w:pPr>
              <w:pStyle w:val="17"/>
              <w:bidi w:val="0"/>
            </w:pPr>
            <w:r>
              <w:t>现场监测人员</w:t>
            </w:r>
          </w:p>
        </w:tc>
        <w:tc>
          <w:tcPr>
            <w:tcW w:w="1199" w:type="pct"/>
            <w:noWrap/>
            <w:vAlign w:val="center"/>
          </w:tcPr>
          <w:p>
            <w:pPr>
              <w:pStyle w:val="17"/>
              <w:bidi w:val="0"/>
            </w:pPr>
            <w: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887" w:type="pct"/>
            <w:noWrap/>
            <w:vAlign w:val="center"/>
          </w:tcPr>
          <w:p>
            <w:pPr>
              <w:pStyle w:val="17"/>
              <w:bidi w:val="0"/>
              <w:rPr>
                <w:rFonts w:hint="eastAsia" w:eastAsia="仿宋_GB2312"/>
                <w:lang w:eastAsia="zh-CN"/>
              </w:rPr>
            </w:pPr>
            <w:r>
              <w:rPr>
                <w:rFonts w:hint="eastAsia"/>
                <w:lang w:val="en-US" w:eastAsia="zh-CN"/>
              </w:rPr>
              <w:t>王晓玲</w:t>
            </w:r>
          </w:p>
        </w:tc>
        <w:tc>
          <w:tcPr>
            <w:tcW w:w="2912" w:type="pct"/>
            <w:noWrap/>
            <w:vAlign w:val="center"/>
          </w:tcPr>
          <w:p>
            <w:pPr>
              <w:pStyle w:val="17"/>
              <w:bidi w:val="0"/>
            </w:pPr>
            <w:r>
              <w:t>现场监测人员</w:t>
            </w:r>
          </w:p>
        </w:tc>
        <w:tc>
          <w:tcPr>
            <w:tcW w:w="1199" w:type="pct"/>
            <w:noWrap/>
            <w:vAlign w:val="center"/>
          </w:tcPr>
          <w:p>
            <w:pPr>
              <w:pStyle w:val="17"/>
              <w:bidi w:val="0"/>
            </w:pPr>
            <w:r>
              <w:t>工程师</w:t>
            </w:r>
          </w:p>
        </w:tc>
      </w:tr>
    </w:tbl>
    <w:p>
      <w:pPr>
        <w:pStyle w:val="5"/>
        <w:adjustRightInd w:val="0"/>
        <w:spacing w:line="360" w:lineRule="auto"/>
        <w:rPr>
          <w:rFonts w:eastAsia="仿宋_GB2312"/>
          <w:sz w:val="24"/>
          <w:szCs w:val="24"/>
        </w:rPr>
      </w:pPr>
      <w:bookmarkStart w:id="39" w:name="_Toc482006582"/>
      <w:bookmarkStart w:id="40" w:name="_Toc456473037"/>
      <w:bookmarkStart w:id="41" w:name="_Toc482352100"/>
      <w:r>
        <w:rPr>
          <w:rFonts w:eastAsia="仿宋_GB2312"/>
          <w:sz w:val="24"/>
          <w:szCs w:val="24"/>
        </w:rPr>
        <w:t>1.3.3监测点布设</w:t>
      </w:r>
      <w:bookmarkEnd w:id="39"/>
      <w:bookmarkEnd w:id="40"/>
      <w:bookmarkEnd w:id="41"/>
    </w:p>
    <w:p>
      <w:pPr>
        <w:bidi w:val="0"/>
      </w:pPr>
      <w:r>
        <w:t>本项目水土保持监测点的布局按照《生产建设项目水土保持监测技术规程（试行）》（办水保[2015]139号）中监测点布设原则和选址要求，在实地踏勘的基础上，考虑观测与管理的方便性进行设置。</w:t>
      </w:r>
    </w:p>
    <w:p>
      <w:pPr>
        <w:bidi w:val="0"/>
      </w:pPr>
      <w:r>
        <w:t>本项目设置的监测点为临时监测点</w:t>
      </w:r>
      <w:r>
        <w:rPr>
          <w:rFonts w:hint="eastAsia"/>
          <w:lang w:eastAsia="zh-CN"/>
        </w:rPr>
        <w:t>，</w:t>
      </w:r>
      <w:r>
        <w:rPr>
          <w:rFonts w:hint="eastAsia"/>
          <w:lang w:val="en-US" w:eastAsia="zh-CN"/>
        </w:rPr>
        <w:t>本项目处于自然恢复期，所</w:t>
      </w:r>
      <w:r>
        <w:t>以</w:t>
      </w:r>
      <w:r>
        <w:rPr>
          <w:rFonts w:hint="eastAsia"/>
          <w:lang w:val="en-US" w:eastAsia="zh-CN"/>
        </w:rPr>
        <w:t>以景观广场区、施工临时道路区</w:t>
      </w:r>
      <w:r>
        <w:t>为重点监测区，按水土流失侵蚀强度、水土流失危害、植被调查三类进行</w:t>
      </w:r>
      <w:r>
        <w:rPr>
          <w:rFonts w:hint="eastAsia"/>
          <w:lang w:eastAsia="zh-CN"/>
        </w:rPr>
        <w:t>布设</w:t>
      </w:r>
      <w:r>
        <w:t xml:space="preserve">，在监测时段内，选择了具有代表性、可比性的、重点监测范围工程部位进行监测点位的布设： </w:t>
      </w:r>
    </w:p>
    <w:p>
      <w:pPr>
        <w:bidi w:val="0"/>
        <w:rPr>
          <w:rFonts w:hint="eastAsia"/>
          <w:lang w:eastAsia="zh-CN"/>
        </w:rPr>
      </w:pPr>
      <w:r>
        <w:rPr>
          <w:rFonts w:hint="eastAsia"/>
          <w:lang w:eastAsia="zh-CN"/>
        </w:rPr>
        <w:t>本工程水土保持监测点布局见表</w:t>
      </w:r>
      <w:r>
        <w:rPr>
          <w:rFonts w:hint="eastAsia"/>
          <w:lang w:val="en-US" w:eastAsia="zh-CN"/>
        </w:rPr>
        <w:t>1.3-2</w:t>
      </w:r>
      <w:r>
        <w:rPr>
          <w:rFonts w:hint="eastAsia"/>
          <w:lang w:eastAsia="zh-CN"/>
        </w:rPr>
        <w:t>。</w:t>
      </w:r>
    </w:p>
    <w:p>
      <w:r>
        <w:br w:type="page"/>
      </w:r>
    </w:p>
    <w:p>
      <w:pPr>
        <w:pStyle w:val="7"/>
        <w:ind w:left="0" w:leftChars="0" w:firstLine="0" w:firstLineChars="0"/>
        <w:jc w:val="center"/>
        <w:rPr>
          <w:rFonts w:hint="eastAsia"/>
          <w:lang w:eastAsia="zh-CN"/>
        </w:rPr>
      </w:pPr>
      <w:r>
        <w:t xml:space="preserve">表1.3- </w:t>
      </w:r>
      <w:r>
        <w:fldChar w:fldCharType="begin"/>
      </w:r>
      <w:r>
        <w:instrText xml:space="preserve"> SEQ 表1.3- \* ARABIC </w:instrText>
      </w:r>
      <w:r>
        <w:fldChar w:fldCharType="separate"/>
      </w:r>
      <w:r>
        <w:t>2</w:t>
      </w:r>
      <w:r>
        <w:fldChar w:fldCharType="end"/>
      </w:r>
      <w:r>
        <w:t>监</w:t>
      </w:r>
      <w:r>
        <w:rPr>
          <w:rFonts w:hint="eastAsia"/>
          <w:lang w:eastAsia="zh-CN"/>
        </w:rPr>
        <w:t>水土保持监测点布局见表</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0"/>
        <w:gridCol w:w="4015"/>
        <w:gridCol w:w="3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4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bookmarkStart w:id="42" w:name="_Toc456473038"/>
            <w:bookmarkStart w:id="43" w:name="_Toc482352101"/>
            <w:bookmarkStart w:id="44" w:name="_Toc482006583"/>
            <w:r>
              <w:rPr>
                <w:rFonts w:hint="eastAsia" w:ascii="仿宋" w:hAnsi="仿宋" w:eastAsia="仿宋" w:cs="仿宋"/>
                <w:kern w:val="0"/>
                <w:sz w:val="21"/>
                <w:szCs w:val="21"/>
              </w:rPr>
              <w:t>监测点名称</w:t>
            </w:r>
          </w:p>
        </w:tc>
        <w:tc>
          <w:tcPr>
            <w:tcW w:w="235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监测点位置</w:t>
            </w:r>
          </w:p>
        </w:tc>
        <w:tc>
          <w:tcPr>
            <w:tcW w:w="17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监测方法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4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1#监测点</w:t>
            </w:r>
          </w:p>
        </w:tc>
        <w:tc>
          <w:tcPr>
            <w:tcW w:w="235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地块北侧临时排水沟出口沉沙池处</w:t>
            </w:r>
          </w:p>
        </w:tc>
        <w:tc>
          <w:tcPr>
            <w:tcW w:w="17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沉沙池法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4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2#监测点</w:t>
            </w:r>
          </w:p>
        </w:tc>
        <w:tc>
          <w:tcPr>
            <w:tcW w:w="235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地块南侧主入口</w:t>
            </w:r>
          </w:p>
        </w:tc>
        <w:tc>
          <w:tcPr>
            <w:tcW w:w="17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巡查法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4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3#监测点</w:t>
            </w:r>
          </w:p>
        </w:tc>
        <w:tc>
          <w:tcPr>
            <w:tcW w:w="235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地块西侧填筑边坡</w:t>
            </w:r>
          </w:p>
        </w:tc>
        <w:tc>
          <w:tcPr>
            <w:tcW w:w="17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侵蚀沟法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4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4#监测点</w:t>
            </w:r>
          </w:p>
        </w:tc>
        <w:tc>
          <w:tcPr>
            <w:tcW w:w="235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施工营造区</w:t>
            </w:r>
          </w:p>
        </w:tc>
        <w:tc>
          <w:tcPr>
            <w:tcW w:w="17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巡查法</w:t>
            </w:r>
          </w:p>
        </w:tc>
      </w:tr>
    </w:tbl>
    <w:p>
      <w:pPr>
        <w:pStyle w:val="5"/>
        <w:adjustRightInd w:val="0"/>
        <w:spacing w:before="120" w:beforeLines="50" w:line="360" w:lineRule="auto"/>
        <w:rPr>
          <w:rFonts w:eastAsia="仿宋_GB2312"/>
          <w:color w:val="000000"/>
          <w:sz w:val="24"/>
          <w:szCs w:val="24"/>
        </w:rPr>
      </w:pPr>
      <w:r>
        <w:rPr>
          <w:rFonts w:eastAsia="仿宋_GB2312"/>
          <w:color w:val="000000"/>
          <w:sz w:val="24"/>
          <w:szCs w:val="24"/>
        </w:rPr>
        <w:t>1.3.4监测设施设备</w:t>
      </w:r>
      <w:bookmarkEnd w:id="42"/>
      <w:bookmarkEnd w:id="43"/>
      <w:bookmarkEnd w:id="44"/>
    </w:p>
    <w:p>
      <w:pPr>
        <w:bidi w:val="0"/>
      </w:pPr>
      <w:r>
        <w:t>监测设施设备包括手持GPS</w:t>
      </w:r>
      <w:r>
        <w:rPr>
          <w:rFonts w:hint="eastAsia"/>
          <w:lang w:eastAsia="zh-CN"/>
        </w:rPr>
        <w:t>1</w:t>
      </w:r>
      <w:r>
        <w:t>个、无人机</w:t>
      </w:r>
      <w:r>
        <w:rPr>
          <w:rFonts w:hint="eastAsia"/>
          <w:lang w:eastAsia="zh-CN"/>
        </w:rPr>
        <w:t>1</w:t>
      </w:r>
      <w:r>
        <w:t>台、相机</w:t>
      </w:r>
      <w:r>
        <w:rPr>
          <w:rFonts w:hint="eastAsia"/>
          <w:lang w:eastAsia="zh-CN"/>
        </w:rPr>
        <w:t>1</w:t>
      </w:r>
      <w:r>
        <w:t>部、皮尺、卷尺等。监测设备使用情况见表</w:t>
      </w:r>
      <w:r>
        <w:rPr>
          <w:rFonts w:hint="eastAsia"/>
          <w:lang w:val="en-US" w:eastAsia="zh-CN"/>
        </w:rPr>
        <w:t>1.3-3</w:t>
      </w:r>
      <w:r>
        <w:t>。</w:t>
      </w:r>
    </w:p>
    <w:p>
      <w:pPr>
        <w:pStyle w:val="7"/>
        <w:rPr>
          <w:rFonts w:ascii="Times New Roman" w:hAnsi="Times New Roman" w:eastAsia="仿宋_GB2312"/>
          <w:bCs/>
          <w:color w:val="000000"/>
          <w:kern w:val="0"/>
          <w:sz w:val="24"/>
        </w:rPr>
      </w:pPr>
      <w:r>
        <w:t xml:space="preserve">表1.3- </w:t>
      </w:r>
      <w:r>
        <w:fldChar w:fldCharType="begin"/>
      </w:r>
      <w:r>
        <w:instrText xml:space="preserve"> SEQ 表1.3- \* ARABIC </w:instrText>
      </w:r>
      <w:r>
        <w:fldChar w:fldCharType="separate"/>
      </w:r>
      <w:r>
        <w:t>3</w:t>
      </w:r>
      <w:r>
        <w:fldChar w:fldCharType="end"/>
      </w:r>
      <w:r>
        <w:rPr>
          <w:rFonts w:ascii="Times New Roman" w:hAnsi="Times New Roman" w:eastAsia="仿宋_GB2312"/>
          <w:bCs/>
          <w:color w:val="000000"/>
          <w:kern w:val="0"/>
          <w:sz w:val="24"/>
        </w:rPr>
        <w:t>监测设备作用情况表</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1053"/>
        <w:gridCol w:w="1931"/>
        <w:gridCol w:w="2950"/>
        <w:gridCol w:w="1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94" w:type="pct"/>
            <w:gridSpan w:val="2"/>
            <w:shd w:val="clear" w:color="auto" w:fill="auto"/>
            <w:noWrap w:val="0"/>
            <w:vAlign w:val="center"/>
          </w:tcPr>
          <w:p>
            <w:pPr>
              <w:pStyle w:val="17"/>
              <w:bidi w:val="0"/>
              <w:rPr>
                <w:lang w:val="en-US" w:eastAsia="zh-CN"/>
              </w:rPr>
            </w:pPr>
            <w:r>
              <w:rPr>
                <w:lang w:val="en-US" w:eastAsia="zh-CN"/>
              </w:rPr>
              <w:t>监测内容</w:t>
            </w:r>
          </w:p>
        </w:tc>
        <w:tc>
          <w:tcPr>
            <w:tcW w:w="1133" w:type="pct"/>
            <w:shd w:val="clear" w:color="auto" w:fill="auto"/>
            <w:noWrap w:val="0"/>
            <w:vAlign w:val="center"/>
          </w:tcPr>
          <w:p>
            <w:pPr>
              <w:pStyle w:val="17"/>
              <w:bidi w:val="0"/>
              <w:rPr>
                <w:lang w:val="en-US" w:eastAsia="zh-CN"/>
              </w:rPr>
            </w:pPr>
            <w:r>
              <w:rPr>
                <w:lang w:val="en-US" w:eastAsia="zh-CN"/>
              </w:rPr>
              <w:t>主要仪器</w:t>
            </w:r>
          </w:p>
        </w:tc>
        <w:tc>
          <w:tcPr>
            <w:tcW w:w="1731" w:type="pct"/>
            <w:shd w:val="clear" w:color="auto" w:fill="auto"/>
            <w:noWrap w:val="0"/>
            <w:vAlign w:val="center"/>
          </w:tcPr>
          <w:p>
            <w:pPr>
              <w:pStyle w:val="17"/>
              <w:bidi w:val="0"/>
              <w:rPr>
                <w:lang w:val="en-US" w:eastAsia="zh-CN"/>
              </w:rPr>
            </w:pPr>
            <w:r>
              <w:rPr>
                <w:lang w:val="en-US" w:eastAsia="zh-CN"/>
              </w:rPr>
              <w:t>监测方法</w:t>
            </w:r>
          </w:p>
        </w:tc>
        <w:tc>
          <w:tcPr>
            <w:tcW w:w="1140" w:type="pct"/>
            <w:shd w:val="clear" w:color="auto" w:fill="auto"/>
            <w:noWrap w:val="0"/>
            <w:vAlign w:val="center"/>
          </w:tcPr>
          <w:p>
            <w:pPr>
              <w:pStyle w:val="17"/>
              <w:bidi w:val="0"/>
              <w:rPr>
                <w:lang w:val="en-US" w:eastAsia="zh-CN"/>
              </w:rPr>
            </w:pPr>
            <w:r>
              <w:rPr>
                <w:lang w:val="en-US" w:eastAsia="zh-CN"/>
              </w:rPr>
              <w:t>数据处理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6" w:type="pct"/>
            <w:vMerge w:val="restart"/>
            <w:shd w:val="clear" w:color="auto" w:fill="auto"/>
            <w:noWrap w:val="0"/>
            <w:vAlign w:val="center"/>
          </w:tcPr>
          <w:p>
            <w:pPr>
              <w:pStyle w:val="17"/>
              <w:bidi w:val="0"/>
              <w:rPr>
                <w:lang w:val="en-US" w:eastAsia="zh-CN"/>
              </w:rPr>
            </w:pPr>
            <w:r>
              <w:rPr>
                <w:lang w:val="en-US" w:eastAsia="zh-CN"/>
              </w:rPr>
              <w:t>水土流失情况</w:t>
            </w:r>
          </w:p>
        </w:tc>
        <w:tc>
          <w:tcPr>
            <w:tcW w:w="617" w:type="pct"/>
            <w:shd w:val="clear" w:color="auto" w:fill="auto"/>
            <w:noWrap w:val="0"/>
            <w:vAlign w:val="center"/>
          </w:tcPr>
          <w:p>
            <w:pPr>
              <w:pStyle w:val="17"/>
              <w:bidi w:val="0"/>
              <w:rPr>
                <w:lang w:val="en-US" w:eastAsia="zh-CN"/>
              </w:rPr>
            </w:pPr>
            <w:r>
              <w:rPr>
                <w:lang w:val="en-US" w:eastAsia="zh-CN"/>
              </w:rPr>
              <w:t>施工前</w:t>
            </w:r>
          </w:p>
        </w:tc>
        <w:tc>
          <w:tcPr>
            <w:tcW w:w="1133" w:type="pct"/>
            <w:shd w:val="clear" w:color="auto" w:fill="auto"/>
            <w:noWrap w:val="0"/>
            <w:vAlign w:val="center"/>
          </w:tcPr>
          <w:p>
            <w:pPr>
              <w:pStyle w:val="17"/>
              <w:bidi w:val="0"/>
              <w:rPr>
                <w:lang w:val="en-US" w:eastAsia="zh-CN"/>
              </w:rPr>
            </w:pPr>
            <w:r>
              <w:rPr>
                <w:lang w:val="en-US" w:eastAsia="zh-CN"/>
              </w:rPr>
              <w:t>/</w:t>
            </w:r>
          </w:p>
        </w:tc>
        <w:tc>
          <w:tcPr>
            <w:tcW w:w="1731" w:type="pct"/>
            <w:shd w:val="clear" w:color="auto" w:fill="auto"/>
            <w:noWrap w:val="0"/>
            <w:vAlign w:val="center"/>
          </w:tcPr>
          <w:p>
            <w:pPr>
              <w:pStyle w:val="17"/>
              <w:bidi w:val="0"/>
              <w:rPr>
                <w:lang w:val="en-US" w:eastAsia="zh-CN"/>
              </w:rPr>
            </w:pPr>
            <w:r>
              <w:rPr>
                <w:lang w:val="en-US" w:eastAsia="zh-CN"/>
              </w:rPr>
              <w:t>/</w:t>
            </w:r>
          </w:p>
        </w:tc>
        <w:tc>
          <w:tcPr>
            <w:tcW w:w="1140" w:type="pct"/>
            <w:shd w:val="clear" w:color="auto" w:fill="auto"/>
            <w:noWrap w:val="0"/>
            <w:vAlign w:val="center"/>
          </w:tcPr>
          <w:p>
            <w:pPr>
              <w:pStyle w:val="17"/>
              <w:bidi w:val="0"/>
              <w:rPr>
                <w:lang w:val="en-US" w:eastAsia="zh-CN"/>
              </w:rPr>
            </w:pPr>
            <w:r>
              <w:rPr>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6" w:type="pct"/>
            <w:vMerge w:val="continue"/>
            <w:shd w:val="clear" w:color="auto" w:fill="auto"/>
            <w:noWrap w:val="0"/>
            <w:vAlign w:val="center"/>
          </w:tcPr>
          <w:p>
            <w:pPr>
              <w:pStyle w:val="17"/>
              <w:bidi w:val="0"/>
              <w:rPr>
                <w:lang w:val="en-US" w:eastAsia="zh-CN"/>
              </w:rPr>
            </w:pPr>
          </w:p>
        </w:tc>
        <w:tc>
          <w:tcPr>
            <w:tcW w:w="617" w:type="pct"/>
            <w:shd w:val="clear" w:color="auto" w:fill="auto"/>
            <w:noWrap w:val="0"/>
            <w:vAlign w:val="center"/>
          </w:tcPr>
          <w:p>
            <w:pPr>
              <w:pStyle w:val="17"/>
              <w:bidi w:val="0"/>
              <w:rPr>
                <w:lang w:val="en-US" w:eastAsia="zh-CN"/>
              </w:rPr>
            </w:pPr>
            <w:r>
              <w:rPr>
                <w:lang w:val="en-US" w:eastAsia="zh-CN"/>
              </w:rPr>
              <w:t>自然恢复期</w:t>
            </w:r>
          </w:p>
        </w:tc>
        <w:tc>
          <w:tcPr>
            <w:tcW w:w="1133" w:type="pct"/>
            <w:shd w:val="clear" w:color="auto" w:fill="auto"/>
            <w:noWrap w:val="0"/>
            <w:vAlign w:val="center"/>
          </w:tcPr>
          <w:p>
            <w:pPr>
              <w:pStyle w:val="17"/>
              <w:bidi w:val="0"/>
              <w:rPr>
                <w:lang w:val="en-US" w:eastAsia="zh-CN"/>
              </w:rPr>
            </w:pPr>
            <w:r>
              <w:rPr>
                <w:lang w:val="en-US" w:eastAsia="zh-CN"/>
              </w:rPr>
              <w:t>皮尺、GPS、相机、无人机</w:t>
            </w:r>
          </w:p>
        </w:tc>
        <w:tc>
          <w:tcPr>
            <w:tcW w:w="1731" w:type="pct"/>
            <w:shd w:val="clear" w:color="auto" w:fill="auto"/>
            <w:noWrap w:val="0"/>
            <w:vAlign w:val="center"/>
          </w:tcPr>
          <w:p>
            <w:pPr>
              <w:pStyle w:val="17"/>
              <w:bidi w:val="0"/>
              <w:rPr>
                <w:lang w:val="en-US" w:eastAsia="zh-CN"/>
              </w:rPr>
            </w:pPr>
            <w:r>
              <w:rPr>
                <w:lang w:val="en-US" w:eastAsia="zh-CN"/>
              </w:rPr>
              <w:t>地面观测、实地量测、遥感监测和资料分析</w:t>
            </w:r>
          </w:p>
        </w:tc>
        <w:tc>
          <w:tcPr>
            <w:tcW w:w="1140" w:type="pct"/>
            <w:shd w:val="clear" w:color="auto" w:fill="auto"/>
            <w:noWrap w:val="0"/>
            <w:vAlign w:val="center"/>
          </w:tcPr>
          <w:p>
            <w:pPr>
              <w:pStyle w:val="17"/>
              <w:bidi w:val="0"/>
              <w:rPr>
                <w:lang w:val="en-US" w:eastAsia="zh-CN"/>
              </w:rPr>
            </w:pPr>
            <w:r>
              <w:rPr>
                <w:lang w:val="en-US" w:eastAsia="zh-CN"/>
              </w:rPr>
              <w:t>量测绿地面积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6" w:type="pct"/>
            <w:vMerge w:val="restart"/>
            <w:shd w:val="clear" w:color="auto" w:fill="auto"/>
            <w:noWrap w:val="0"/>
            <w:vAlign w:val="center"/>
          </w:tcPr>
          <w:p>
            <w:pPr>
              <w:pStyle w:val="17"/>
              <w:bidi w:val="0"/>
              <w:rPr>
                <w:lang w:val="en-US" w:eastAsia="zh-CN"/>
              </w:rPr>
            </w:pPr>
            <w:r>
              <w:rPr>
                <w:lang w:val="en-US" w:eastAsia="zh-CN"/>
              </w:rPr>
              <w:t>扰动土地面积</w:t>
            </w:r>
          </w:p>
        </w:tc>
        <w:tc>
          <w:tcPr>
            <w:tcW w:w="617" w:type="pct"/>
            <w:shd w:val="clear" w:color="auto" w:fill="auto"/>
            <w:noWrap w:val="0"/>
            <w:vAlign w:val="center"/>
          </w:tcPr>
          <w:p>
            <w:pPr>
              <w:pStyle w:val="17"/>
              <w:bidi w:val="0"/>
              <w:rPr>
                <w:lang w:val="en-US" w:eastAsia="zh-CN"/>
              </w:rPr>
            </w:pPr>
            <w:r>
              <w:rPr>
                <w:lang w:val="en-US" w:eastAsia="zh-CN"/>
              </w:rPr>
              <w:t>规则形状</w:t>
            </w:r>
          </w:p>
        </w:tc>
        <w:tc>
          <w:tcPr>
            <w:tcW w:w="1133" w:type="pct"/>
            <w:shd w:val="clear" w:color="auto" w:fill="auto"/>
            <w:noWrap w:val="0"/>
            <w:vAlign w:val="center"/>
          </w:tcPr>
          <w:p>
            <w:pPr>
              <w:pStyle w:val="17"/>
              <w:bidi w:val="0"/>
              <w:rPr>
                <w:lang w:val="en-US" w:eastAsia="zh-CN"/>
              </w:rPr>
            </w:pPr>
            <w:r>
              <w:rPr>
                <w:lang w:val="en-US" w:eastAsia="zh-CN"/>
              </w:rPr>
              <w:t>皮尺、钢卷尺</w:t>
            </w:r>
          </w:p>
        </w:tc>
        <w:tc>
          <w:tcPr>
            <w:tcW w:w="1731" w:type="pct"/>
            <w:shd w:val="clear" w:color="auto" w:fill="auto"/>
            <w:noWrap w:val="0"/>
            <w:vAlign w:val="center"/>
          </w:tcPr>
          <w:p>
            <w:pPr>
              <w:pStyle w:val="17"/>
              <w:bidi w:val="0"/>
              <w:rPr>
                <w:lang w:val="en-US" w:eastAsia="zh-CN"/>
              </w:rPr>
            </w:pPr>
            <w:r>
              <w:rPr>
                <w:lang w:val="en-US" w:eastAsia="zh-CN"/>
              </w:rPr>
              <w:t>实地量测、资料分析</w:t>
            </w:r>
          </w:p>
        </w:tc>
        <w:tc>
          <w:tcPr>
            <w:tcW w:w="1140" w:type="pct"/>
            <w:shd w:val="clear" w:color="auto" w:fill="auto"/>
            <w:noWrap w:val="0"/>
            <w:vAlign w:val="center"/>
          </w:tcPr>
          <w:p>
            <w:pPr>
              <w:pStyle w:val="17"/>
              <w:bidi w:val="0"/>
              <w:rPr>
                <w:lang w:val="en-US" w:eastAsia="zh-CN"/>
              </w:rPr>
            </w:pPr>
            <w:r>
              <w:rPr>
                <w:lang w:val="en-US" w:eastAsia="zh-CN"/>
              </w:rPr>
              <w:t>按平面几何法计算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6" w:type="pct"/>
            <w:vMerge w:val="continue"/>
            <w:shd w:val="clear" w:color="auto" w:fill="auto"/>
            <w:noWrap w:val="0"/>
            <w:vAlign w:val="center"/>
          </w:tcPr>
          <w:p>
            <w:pPr>
              <w:pStyle w:val="17"/>
              <w:bidi w:val="0"/>
              <w:rPr>
                <w:lang w:val="en-US" w:eastAsia="zh-CN"/>
              </w:rPr>
            </w:pPr>
          </w:p>
        </w:tc>
        <w:tc>
          <w:tcPr>
            <w:tcW w:w="617" w:type="pct"/>
            <w:shd w:val="clear" w:color="auto" w:fill="auto"/>
            <w:noWrap w:val="0"/>
            <w:vAlign w:val="center"/>
          </w:tcPr>
          <w:p>
            <w:pPr>
              <w:pStyle w:val="17"/>
              <w:bidi w:val="0"/>
              <w:rPr>
                <w:lang w:val="en-US" w:eastAsia="zh-CN"/>
              </w:rPr>
            </w:pPr>
            <w:r>
              <w:rPr>
                <w:lang w:val="en-US" w:eastAsia="zh-CN"/>
              </w:rPr>
              <w:t>不规则形状</w:t>
            </w:r>
          </w:p>
        </w:tc>
        <w:tc>
          <w:tcPr>
            <w:tcW w:w="1133" w:type="pct"/>
            <w:shd w:val="clear" w:color="auto" w:fill="auto"/>
            <w:noWrap w:val="0"/>
            <w:vAlign w:val="center"/>
          </w:tcPr>
          <w:p>
            <w:pPr>
              <w:pStyle w:val="17"/>
              <w:bidi w:val="0"/>
              <w:rPr>
                <w:lang w:val="en-US" w:eastAsia="zh-CN"/>
              </w:rPr>
            </w:pPr>
            <w:r>
              <w:rPr>
                <w:lang w:val="en-US" w:eastAsia="zh-CN"/>
              </w:rPr>
              <w:t>手持GPS</w:t>
            </w:r>
          </w:p>
        </w:tc>
        <w:tc>
          <w:tcPr>
            <w:tcW w:w="1731" w:type="pct"/>
            <w:shd w:val="clear" w:color="auto" w:fill="auto"/>
            <w:noWrap w:val="0"/>
            <w:vAlign w:val="center"/>
          </w:tcPr>
          <w:p>
            <w:pPr>
              <w:pStyle w:val="17"/>
              <w:bidi w:val="0"/>
              <w:rPr>
                <w:lang w:val="en-US" w:eastAsia="zh-CN"/>
              </w:rPr>
            </w:pPr>
            <w:r>
              <w:rPr>
                <w:lang w:val="en-US" w:eastAsia="zh-CN"/>
              </w:rPr>
              <w:t>实地量测和资料分析</w:t>
            </w:r>
          </w:p>
        </w:tc>
        <w:tc>
          <w:tcPr>
            <w:tcW w:w="1140" w:type="pct"/>
            <w:shd w:val="clear" w:color="auto" w:fill="auto"/>
            <w:noWrap w:val="0"/>
            <w:vAlign w:val="center"/>
          </w:tcPr>
          <w:p>
            <w:pPr>
              <w:pStyle w:val="17"/>
              <w:bidi w:val="0"/>
              <w:rPr>
                <w:lang w:val="en-US" w:eastAsia="zh-CN"/>
              </w:rPr>
            </w:pPr>
            <w:r>
              <w:rPr>
                <w:lang w:val="en-US" w:eastAsia="zh-CN"/>
              </w:rPr>
              <w:t>面积数据取平均值，形状按三次图形重叠后的拟合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6" w:type="pct"/>
            <w:vMerge w:val="restart"/>
            <w:shd w:val="clear" w:color="auto" w:fill="auto"/>
            <w:noWrap w:val="0"/>
            <w:vAlign w:val="center"/>
          </w:tcPr>
          <w:p>
            <w:pPr>
              <w:pStyle w:val="17"/>
              <w:bidi w:val="0"/>
              <w:rPr>
                <w:lang w:val="en-US" w:eastAsia="zh-CN"/>
              </w:rPr>
            </w:pPr>
            <w:r>
              <w:rPr>
                <w:lang w:val="en-US" w:eastAsia="zh-CN"/>
              </w:rPr>
              <w:t>水土流失防治情况</w:t>
            </w:r>
          </w:p>
        </w:tc>
        <w:tc>
          <w:tcPr>
            <w:tcW w:w="617" w:type="pct"/>
            <w:shd w:val="clear" w:color="auto" w:fill="auto"/>
            <w:noWrap w:val="0"/>
            <w:vAlign w:val="center"/>
          </w:tcPr>
          <w:p>
            <w:pPr>
              <w:pStyle w:val="17"/>
              <w:bidi w:val="0"/>
              <w:rPr>
                <w:lang w:val="en-US" w:eastAsia="zh-CN"/>
              </w:rPr>
            </w:pPr>
            <w:r>
              <w:rPr>
                <w:lang w:val="en-US" w:eastAsia="zh-CN"/>
              </w:rPr>
              <w:t>建设管理</w:t>
            </w:r>
          </w:p>
        </w:tc>
        <w:tc>
          <w:tcPr>
            <w:tcW w:w="1133" w:type="pct"/>
            <w:shd w:val="clear" w:color="auto" w:fill="auto"/>
            <w:noWrap w:val="0"/>
            <w:vAlign w:val="center"/>
          </w:tcPr>
          <w:p>
            <w:pPr>
              <w:pStyle w:val="17"/>
              <w:bidi w:val="0"/>
              <w:rPr>
                <w:lang w:val="en-US" w:eastAsia="zh-CN"/>
              </w:rPr>
            </w:pPr>
            <w:r>
              <w:rPr>
                <w:lang w:val="en-US" w:eastAsia="zh-CN"/>
              </w:rPr>
              <w:t>/</w:t>
            </w:r>
          </w:p>
        </w:tc>
        <w:tc>
          <w:tcPr>
            <w:tcW w:w="1731" w:type="pct"/>
            <w:shd w:val="clear" w:color="auto" w:fill="auto"/>
            <w:noWrap w:val="0"/>
            <w:vAlign w:val="center"/>
          </w:tcPr>
          <w:p>
            <w:pPr>
              <w:pStyle w:val="17"/>
              <w:bidi w:val="0"/>
              <w:rPr>
                <w:lang w:val="en-US" w:eastAsia="zh-CN"/>
              </w:rPr>
            </w:pPr>
            <w:r>
              <w:rPr>
                <w:lang w:val="en-US" w:eastAsia="zh-CN"/>
              </w:rPr>
              <w:t>资料分析</w:t>
            </w:r>
          </w:p>
        </w:tc>
        <w:tc>
          <w:tcPr>
            <w:tcW w:w="1140" w:type="pct"/>
            <w:shd w:val="clear" w:color="auto" w:fill="auto"/>
            <w:noWrap w:val="0"/>
            <w:vAlign w:val="center"/>
          </w:tcPr>
          <w:p>
            <w:pPr>
              <w:pStyle w:val="17"/>
              <w:bidi w:val="0"/>
              <w:rPr>
                <w:lang w:val="en-US" w:eastAsia="zh-CN"/>
              </w:rPr>
            </w:pPr>
            <w:r>
              <w:rPr>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6" w:type="pct"/>
            <w:vMerge w:val="continue"/>
            <w:shd w:val="clear" w:color="auto" w:fill="auto"/>
            <w:noWrap w:val="0"/>
            <w:vAlign w:val="center"/>
          </w:tcPr>
          <w:p>
            <w:pPr>
              <w:pStyle w:val="17"/>
              <w:bidi w:val="0"/>
              <w:rPr>
                <w:lang w:val="en-US" w:eastAsia="zh-CN"/>
              </w:rPr>
            </w:pPr>
          </w:p>
        </w:tc>
        <w:tc>
          <w:tcPr>
            <w:tcW w:w="617" w:type="pct"/>
            <w:shd w:val="clear" w:color="auto" w:fill="auto"/>
            <w:noWrap w:val="0"/>
            <w:vAlign w:val="center"/>
          </w:tcPr>
          <w:p>
            <w:pPr>
              <w:pStyle w:val="17"/>
              <w:bidi w:val="0"/>
              <w:rPr>
                <w:lang w:val="en-US" w:eastAsia="zh-CN"/>
              </w:rPr>
            </w:pPr>
            <w:r>
              <w:rPr>
                <w:lang w:val="en-US" w:eastAsia="zh-CN"/>
              </w:rPr>
              <w:t>措施实施情况</w:t>
            </w:r>
          </w:p>
        </w:tc>
        <w:tc>
          <w:tcPr>
            <w:tcW w:w="1133" w:type="pct"/>
            <w:shd w:val="clear" w:color="auto" w:fill="auto"/>
            <w:noWrap w:val="0"/>
            <w:vAlign w:val="center"/>
          </w:tcPr>
          <w:p>
            <w:pPr>
              <w:pStyle w:val="17"/>
              <w:bidi w:val="0"/>
              <w:rPr>
                <w:lang w:val="en-US" w:eastAsia="zh-CN"/>
              </w:rPr>
            </w:pPr>
            <w:r>
              <w:rPr>
                <w:lang w:val="en-US" w:eastAsia="zh-CN"/>
              </w:rPr>
              <w:t>钢卷尺、皮尺、数码相机、无人机</w:t>
            </w:r>
          </w:p>
        </w:tc>
        <w:tc>
          <w:tcPr>
            <w:tcW w:w="1731" w:type="pct"/>
            <w:shd w:val="clear" w:color="auto" w:fill="auto"/>
            <w:noWrap w:val="0"/>
            <w:vAlign w:val="center"/>
          </w:tcPr>
          <w:p>
            <w:pPr>
              <w:pStyle w:val="17"/>
              <w:bidi w:val="0"/>
              <w:rPr>
                <w:lang w:val="en-US" w:eastAsia="zh-CN"/>
              </w:rPr>
            </w:pPr>
            <w:r>
              <w:rPr>
                <w:lang w:val="en-US" w:eastAsia="zh-CN"/>
              </w:rPr>
              <w:t>地面观测、实地量测和资料分析</w:t>
            </w:r>
          </w:p>
        </w:tc>
        <w:tc>
          <w:tcPr>
            <w:tcW w:w="1140" w:type="pct"/>
            <w:shd w:val="clear" w:color="auto" w:fill="auto"/>
            <w:noWrap w:val="0"/>
            <w:vAlign w:val="center"/>
          </w:tcPr>
          <w:p>
            <w:pPr>
              <w:pStyle w:val="17"/>
              <w:bidi w:val="0"/>
              <w:rPr>
                <w:lang w:val="en-US" w:eastAsia="zh-CN"/>
              </w:rPr>
            </w:pPr>
            <w:r>
              <w:rPr>
                <w:lang w:val="en-US" w:eastAsia="zh-CN"/>
              </w:rPr>
              <w:t>工程量、实施时间以监理月报为准，现场核实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6" w:type="pct"/>
            <w:vMerge w:val="continue"/>
            <w:shd w:val="clear" w:color="auto" w:fill="auto"/>
            <w:noWrap w:val="0"/>
            <w:vAlign w:val="center"/>
          </w:tcPr>
          <w:p>
            <w:pPr>
              <w:pStyle w:val="17"/>
              <w:bidi w:val="0"/>
              <w:rPr>
                <w:lang w:val="en-US" w:eastAsia="zh-CN"/>
              </w:rPr>
            </w:pPr>
          </w:p>
        </w:tc>
        <w:tc>
          <w:tcPr>
            <w:tcW w:w="617" w:type="pct"/>
            <w:shd w:val="clear" w:color="auto" w:fill="auto"/>
            <w:noWrap w:val="0"/>
            <w:vAlign w:val="center"/>
          </w:tcPr>
          <w:p>
            <w:pPr>
              <w:pStyle w:val="17"/>
              <w:bidi w:val="0"/>
              <w:rPr>
                <w:lang w:val="en-US" w:eastAsia="zh-CN"/>
              </w:rPr>
            </w:pPr>
            <w:r>
              <w:rPr>
                <w:lang w:val="en-US" w:eastAsia="zh-CN"/>
              </w:rPr>
              <w:t>土石方</w:t>
            </w:r>
          </w:p>
        </w:tc>
        <w:tc>
          <w:tcPr>
            <w:tcW w:w="1133" w:type="pct"/>
            <w:shd w:val="clear" w:color="auto" w:fill="auto"/>
            <w:noWrap w:val="0"/>
            <w:vAlign w:val="center"/>
          </w:tcPr>
          <w:p>
            <w:pPr>
              <w:pStyle w:val="17"/>
              <w:bidi w:val="0"/>
              <w:rPr>
                <w:lang w:val="en-US" w:eastAsia="zh-CN"/>
              </w:rPr>
            </w:pPr>
            <w:r>
              <w:rPr>
                <w:lang w:val="en-US" w:eastAsia="zh-CN"/>
              </w:rPr>
              <w:t>/</w:t>
            </w:r>
          </w:p>
        </w:tc>
        <w:tc>
          <w:tcPr>
            <w:tcW w:w="1731" w:type="pct"/>
            <w:shd w:val="clear" w:color="auto" w:fill="auto"/>
            <w:noWrap w:val="0"/>
            <w:vAlign w:val="center"/>
          </w:tcPr>
          <w:p>
            <w:pPr>
              <w:pStyle w:val="17"/>
              <w:bidi w:val="0"/>
              <w:rPr>
                <w:lang w:val="en-US" w:eastAsia="zh-CN"/>
              </w:rPr>
            </w:pPr>
            <w:r>
              <w:rPr>
                <w:lang w:val="en-US" w:eastAsia="zh-CN"/>
              </w:rPr>
              <w:t>实地量测、和资料分析</w:t>
            </w:r>
          </w:p>
        </w:tc>
        <w:tc>
          <w:tcPr>
            <w:tcW w:w="1140" w:type="pct"/>
            <w:shd w:val="clear" w:color="auto" w:fill="auto"/>
            <w:noWrap w:val="0"/>
            <w:vAlign w:val="center"/>
          </w:tcPr>
          <w:p>
            <w:pPr>
              <w:pStyle w:val="17"/>
              <w:bidi w:val="0"/>
              <w:rPr>
                <w:lang w:val="en-US" w:eastAsia="zh-CN"/>
              </w:rPr>
            </w:pPr>
            <w:r>
              <w:rPr>
                <w:lang w:val="en-US" w:eastAsia="zh-CN"/>
              </w:rPr>
              <w:t>工程量签证单中数据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6" w:type="pct"/>
            <w:vMerge w:val="continue"/>
            <w:shd w:val="clear" w:color="auto" w:fill="auto"/>
            <w:noWrap w:val="0"/>
            <w:vAlign w:val="center"/>
          </w:tcPr>
          <w:p>
            <w:pPr>
              <w:pStyle w:val="17"/>
              <w:bidi w:val="0"/>
              <w:rPr>
                <w:lang w:val="en-US" w:eastAsia="zh-CN"/>
              </w:rPr>
            </w:pPr>
          </w:p>
        </w:tc>
        <w:tc>
          <w:tcPr>
            <w:tcW w:w="617" w:type="pct"/>
            <w:shd w:val="clear" w:color="auto" w:fill="auto"/>
            <w:noWrap w:val="0"/>
            <w:vAlign w:val="center"/>
          </w:tcPr>
          <w:p>
            <w:pPr>
              <w:pStyle w:val="17"/>
              <w:bidi w:val="0"/>
              <w:rPr>
                <w:lang w:val="en-US" w:eastAsia="zh-CN"/>
              </w:rPr>
            </w:pPr>
            <w:r>
              <w:rPr>
                <w:lang w:val="en-US" w:eastAsia="zh-CN"/>
              </w:rPr>
              <w:t>防治效果</w:t>
            </w:r>
          </w:p>
        </w:tc>
        <w:tc>
          <w:tcPr>
            <w:tcW w:w="1133" w:type="pct"/>
            <w:shd w:val="clear" w:color="auto" w:fill="auto"/>
            <w:noWrap w:val="0"/>
            <w:vAlign w:val="center"/>
          </w:tcPr>
          <w:p>
            <w:pPr>
              <w:pStyle w:val="17"/>
              <w:bidi w:val="0"/>
              <w:rPr>
                <w:lang w:val="en-US" w:eastAsia="zh-CN"/>
              </w:rPr>
            </w:pPr>
            <w:r>
              <w:rPr>
                <w:lang w:val="en-US" w:eastAsia="zh-CN"/>
              </w:rPr>
              <w:t>钢卷尺、样方格、无人机</w:t>
            </w:r>
          </w:p>
        </w:tc>
        <w:tc>
          <w:tcPr>
            <w:tcW w:w="1731" w:type="pct"/>
            <w:shd w:val="clear" w:color="auto" w:fill="auto"/>
            <w:noWrap w:val="0"/>
            <w:vAlign w:val="center"/>
          </w:tcPr>
          <w:p>
            <w:pPr>
              <w:pStyle w:val="17"/>
              <w:bidi w:val="0"/>
              <w:rPr>
                <w:lang w:val="en-US" w:eastAsia="zh-CN"/>
              </w:rPr>
            </w:pPr>
            <w:r>
              <w:rPr>
                <w:lang w:val="en-US" w:eastAsia="zh-CN"/>
              </w:rPr>
              <w:t>地面观测、实地量测、遥感监测和资料分析</w:t>
            </w:r>
          </w:p>
        </w:tc>
        <w:tc>
          <w:tcPr>
            <w:tcW w:w="1140" w:type="pct"/>
            <w:shd w:val="clear" w:color="auto" w:fill="auto"/>
            <w:noWrap w:val="0"/>
            <w:vAlign w:val="center"/>
          </w:tcPr>
          <w:p>
            <w:pPr>
              <w:pStyle w:val="17"/>
              <w:bidi w:val="0"/>
              <w:rPr>
                <w:lang w:val="en-US" w:eastAsia="zh-CN"/>
              </w:rPr>
            </w:pPr>
            <w:r>
              <w:rPr>
                <w:lang w:val="en-US" w:eastAsia="zh-CN"/>
              </w:rPr>
              <w:t>六项指标按原方案确定的计算公式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4" w:type="pct"/>
            <w:gridSpan w:val="2"/>
            <w:shd w:val="clear" w:color="auto" w:fill="auto"/>
            <w:noWrap w:val="0"/>
            <w:vAlign w:val="center"/>
          </w:tcPr>
          <w:p>
            <w:pPr>
              <w:pStyle w:val="17"/>
              <w:bidi w:val="0"/>
              <w:rPr>
                <w:lang w:val="en-US" w:eastAsia="zh-CN"/>
              </w:rPr>
            </w:pPr>
            <w:r>
              <w:rPr>
                <w:lang w:val="en-US" w:eastAsia="zh-CN"/>
              </w:rPr>
              <w:t>水土流失危害</w:t>
            </w:r>
          </w:p>
        </w:tc>
        <w:tc>
          <w:tcPr>
            <w:tcW w:w="1133" w:type="pct"/>
            <w:shd w:val="clear" w:color="auto" w:fill="auto"/>
            <w:noWrap w:val="0"/>
            <w:vAlign w:val="center"/>
          </w:tcPr>
          <w:p>
            <w:pPr>
              <w:pStyle w:val="17"/>
              <w:bidi w:val="0"/>
              <w:rPr>
                <w:lang w:val="en-US" w:eastAsia="zh-CN"/>
              </w:rPr>
            </w:pPr>
            <w:r>
              <w:rPr>
                <w:lang w:val="en-US" w:eastAsia="zh-CN"/>
              </w:rPr>
              <w:t>数码相机、无人机</w:t>
            </w:r>
          </w:p>
        </w:tc>
        <w:tc>
          <w:tcPr>
            <w:tcW w:w="1731" w:type="pct"/>
            <w:shd w:val="clear" w:color="auto" w:fill="auto"/>
            <w:noWrap w:val="0"/>
            <w:vAlign w:val="center"/>
          </w:tcPr>
          <w:p>
            <w:pPr>
              <w:pStyle w:val="17"/>
              <w:bidi w:val="0"/>
              <w:rPr>
                <w:lang w:val="en-US" w:eastAsia="zh-CN"/>
              </w:rPr>
            </w:pPr>
            <w:r>
              <w:rPr>
                <w:lang w:val="en-US" w:eastAsia="zh-CN"/>
              </w:rPr>
              <w:t>地面观测、实地量测和资料分析</w:t>
            </w:r>
          </w:p>
        </w:tc>
        <w:tc>
          <w:tcPr>
            <w:tcW w:w="1140" w:type="pct"/>
            <w:shd w:val="clear" w:color="auto" w:fill="auto"/>
            <w:noWrap w:val="0"/>
            <w:vAlign w:val="center"/>
          </w:tcPr>
          <w:p>
            <w:pPr>
              <w:pStyle w:val="17"/>
              <w:bidi w:val="0"/>
              <w:rPr>
                <w:lang w:val="en-US" w:eastAsia="zh-CN"/>
              </w:rPr>
            </w:pPr>
            <w:r>
              <w:rPr>
                <w:lang w:val="en-US" w:eastAsia="zh-CN"/>
              </w:rPr>
              <w:t>/</w:t>
            </w:r>
          </w:p>
        </w:tc>
      </w:tr>
    </w:tbl>
    <w:p>
      <w:pPr>
        <w:pStyle w:val="5"/>
        <w:adjustRightInd w:val="0"/>
        <w:spacing w:line="360" w:lineRule="auto"/>
        <w:rPr>
          <w:rFonts w:eastAsia="仿宋_GB2312"/>
          <w:color w:val="000000"/>
          <w:sz w:val="24"/>
          <w:szCs w:val="24"/>
        </w:rPr>
      </w:pPr>
      <w:bookmarkStart w:id="45" w:name="_Toc482006584"/>
      <w:bookmarkStart w:id="46" w:name="_Toc456473039"/>
      <w:bookmarkStart w:id="47" w:name="_Toc482352102"/>
      <w:r>
        <w:rPr>
          <w:rFonts w:eastAsia="仿宋_GB2312"/>
          <w:color w:val="000000"/>
          <w:sz w:val="24"/>
          <w:szCs w:val="24"/>
        </w:rPr>
        <w:t>1.3.5监测技术方法</w:t>
      </w:r>
      <w:bookmarkEnd w:id="45"/>
      <w:bookmarkEnd w:id="46"/>
      <w:bookmarkEnd w:id="47"/>
    </w:p>
    <w:p>
      <w:pPr>
        <w:bidi w:val="0"/>
      </w:pPr>
      <w:r>
        <w:t>水土流失监测采用调查监测法、地面定位观测法，在注重最终观测结果的同时，对其发生、发展变化的过程必须全面定时定位监测，以保证监测结果的可靠性和适用性，实现监测资料的连续性，水土流失预测结果的准确性。</w:t>
      </w:r>
    </w:p>
    <w:p>
      <w:pPr>
        <w:pStyle w:val="5"/>
        <w:adjustRightInd w:val="0"/>
        <w:spacing w:line="360" w:lineRule="auto"/>
        <w:rPr>
          <w:rFonts w:eastAsia="仿宋_GB2312"/>
          <w:color w:val="000000"/>
          <w:sz w:val="24"/>
          <w:szCs w:val="24"/>
        </w:rPr>
      </w:pPr>
      <w:bookmarkStart w:id="48" w:name="_Toc482006585"/>
      <w:bookmarkStart w:id="49" w:name="_Toc482352103"/>
      <w:bookmarkStart w:id="50" w:name="_Toc456473040"/>
      <w:r>
        <w:rPr>
          <w:rFonts w:eastAsia="仿宋_GB2312"/>
          <w:color w:val="000000"/>
          <w:sz w:val="24"/>
          <w:szCs w:val="24"/>
        </w:rPr>
        <w:t>1.3.6监测</w:t>
      </w:r>
      <w:bookmarkEnd w:id="48"/>
      <w:bookmarkEnd w:id="49"/>
      <w:bookmarkEnd w:id="50"/>
      <w:r>
        <w:rPr>
          <w:rFonts w:eastAsia="仿宋_GB2312"/>
          <w:color w:val="000000"/>
          <w:sz w:val="24"/>
          <w:szCs w:val="24"/>
        </w:rPr>
        <w:t>阶段成果</w:t>
      </w:r>
    </w:p>
    <w:p>
      <w:pPr>
        <w:bidi w:val="0"/>
      </w:pPr>
      <w:r>
        <w:t>按《生产建设项目水土保持监测规程（试行）》（办水保[2015]139号）的相关规定</w:t>
      </w:r>
      <w:r>
        <w:rPr>
          <w:rFonts w:hint="eastAsia"/>
          <w:lang w:eastAsia="zh-CN"/>
        </w:rPr>
        <w:t>，</w:t>
      </w:r>
      <w:r>
        <w:t>20</w:t>
      </w:r>
      <w:r>
        <w:rPr>
          <w:rFonts w:hint="eastAsia"/>
          <w:lang w:eastAsia="zh-CN"/>
        </w:rPr>
        <w:t>2</w:t>
      </w:r>
      <w:r>
        <w:rPr>
          <w:rFonts w:hint="eastAsia"/>
          <w:lang w:val="en-US" w:eastAsia="zh-CN"/>
        </w:rPr>
        <w:t>1</w:t>
      </w:r>
      <w:r>
        <w:t>年</w:t>
      </w:r>
      <w:r>
        <w:rPr>
          <w:rFonts w:hint="eastAsia"/>
          <w:lang w:val="en-US" w:eastAsia="zh-CN"/>
        </w:rPr>
        <w:t>2</w:t>
      </w:r>
      <w:r>
        <w:t>月，经过内业资料收集、查阅及分析，编写完成《</w:t>
      </w:r>
      <w:r>
        <w:rPr>
          <w:rFonts w:hint="eastAsia"/>
          <w:lang w:val="en-US" w:eastAsia="zh-CN"/>
        </w:rPr>
        <w:t>东海岛15万m³/d 自来水厂工程</w:t>
      </w:r>
      <w:r>
        <w:t>水土保持监测总结报告》。</w:t>
      </w:r>
    </w:p>
    <w:p>
      <w:pPr>
        <w:pStyle w:val="5"/>
        <w:spacing w:line="360" w:lineRule="auto"/>
        <w:rPr>
          <w:rFonts w:eastAsia="仿宋_GB2312"/>
          <w:color w:val="000000"/>
          <w:sz w:val="24"/>
          <w:szCs w:val="24"/>
        </w:rPr>
      </w:pPr>
      <w:r>
        <w:rPr>
          <w:rFonts w:eastAsia="仿宋_GB2312"/>
          <w:color w:val="000000"/>
          <w:sz w:val="24"/>
          <w:szCs w:val="24"/>
        </w:rPr>
        <w:t>1.3.</w:t>
      </w:r>
      <w:r>
        <w:rPr>
          <w:rFonts w:hint="eastAsia" w:eastAsia="仿宋_GB2312"/>
          <w:color w:val="000000"/>
          <w:sz w:val="24"/>
          <w:szCs w:val="24"/>
        </w:rPr>
        <w:t>7</w:t>
      </w:r>
      <w:r>
        <w:rPr>
          <w:rFonts w:eastAsia="仿宋_GB2312"/>
          <w:color w:val="000000"/>
          <w:sz w:val="24"/>
          <w:szCs w:val="24"/>
        </w:rPr>
        <w:t xml:space="preserve"> 重大水土流失危害事件处理 </w:t>
      </w:r>
    </w:p>
    <w:p>
      <w:pPr>
        <w:bidi w:val="0"/>
      </w:pPr>
      <w:r>
        <w:t>本工程在施工过程中未造成重大水土流失危害事件。</w:t>
      </w:r>
    </w:p>
    <w:p>
      <w:pPr>
        <w:bidi w:val="0"/>
      </w:pPr>
    </w:p>
    <w:p>
      <w:pPr>
        <w:sectPr>
          <w:headerReference r:id="rId16" w:type="default"/>
          <w:footerReference r:id="rId1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bidi w:val="0"/>
      </w:pPr>
      <w:bookmarkStart w:id="51" w:name="_Toc12809"/>
      <w:bookmarkStart w:id="52" w:name="_Toc24590"/>
      <w:bookmarkStart w:id="53" w:name="_Toc44318477"/>
      <w:r>
        <w:t>2监测内容和方法</w:t>
      </w:r>
      <w:bookmarkEnd w:id="51"/>
      <w:bookmarkEnd w:id="52"/>
      <w:bookmarkEnd w:id="53"/>
    </w:p>
    <w:p>
      <w:pPr>
        <w:pStyle w:val="24"/>
      </w:pPr>
      <w:r>
        <w:t>本项目按规范及批复方案的要求开展监测工作后，各项水土流失因子的监测内容和方法如下：</w:t>
      </w:r>
    </w:p>
    <w:p>
      <w:pPr>
        <w:pStyle w:val="4"/>
        <w:bidi w:val="0"/>
        <w:outlineLvl w:val="0"/>
      </w:pPr>
      <w:bookmarkStart w:id="54" w:name="_Toc13020"/>
      <w:bookmarkStart w:id="55" w:name="_Toc519759664"/>
      <w:bookmarkStart w:id="56" w:name="_Toc21816"/>
      <w:bookmarkStart w:id="57" w:name="_Toc44318478"/>
      <w:r>
        <w:t>2.1扰动土地情况</w:t>
      </w:r>
      <w:bookmarkEnd w:id="54"/>
      <w:bookmarkEnd w:id="55"/>
      <w:bookmarkEnd w:id="56"/>
      <w:bookmarkEnd w:id="57"/>
    </w:p>
    <w:p>
      <w:pPr>
        <w:pStyle w:val="24"/>
      </w:pPr>
      <w:r>
        <w:t>项目组对扰动面积数量变化情况、植被覆盖度、现有水保设施及其土壤侵蚀背景值、植被恢复情况采用普查和抽样调查相结合的方法进行监测，并通过实地监测，及时掌握不同阶段水土流失防治责任范围的变化情况。扰动土地情况监测频次与方法见</w:t>
      </w:r>
      <w:r>
        <w:rPr>
          <w:rFonts w:hint="default"/>
          <w:lang w:val="en-US"/>
        </w:rPr>
        <w:fldChar w:fldCharType="begin"/>
      </w:r>
      <w:r>
        <w:rPr>
          <w:rFonts w:hint="default"/>
          <w:lang w:val="en-US"/>
        </w:rPr>
        <w:instrText xml:space="preserve"> REF _Ref953 \h </w:instrText>
      </w:r>
      <w:r>
        <w:rPr>
          <w:rFonts w:hint="default"/>
          <w:lang w:val="en-US"/>
        </w:rPr>
        <w:fldChar w:fldCharType="separate"/>
      </w:r>
      <w:r>
        <w:t>表2.1- 1</w:t>
      </w:r>
      <w:r>
        <w:rPr>
          <w:rFonts w:hint="default"/>
          <w:lang w:val="en-US"/>
        </w:rPr>
        <w:fldChar w:fldCharType="end"/>
      </w:r>
      <w:r>
        <w:t>。</w:t>
      </w:r>
    </w:p>
    <w:p>
      <w:pPr>
        <w:pStyle w:val="24"/>
        <w:ind w:left="0" w:leftChars="0" w:firstLine="0" w:firstLineChars="0"/>
        <w:jc w:val="center"/>
      </w:pPr>
      <w:bookmarkStart w:id="58" w:name="_Ref953"/>
      <w:r>
        <w:t xml:space="preserve">表2.1- </w:t>
      </w:r>
      <w:r>
        <w:fldChar w:fldCharType="begin"/>
      </w:r>
      <w:r>
        <w:instrText xml:space="preserve"> SEQ 表2.1- \* ARABIC </w:instrText>
      </w:r>
      <w:r>
        <w:fldChar w:fldCharType="separate"/>
      </w:r>
      <w:r>
        <w:t>1</w:t>
      </w:r>
      <w:r>
        <w:fldChar w:fldCharType="end"/>
      </w:r>
      <w:bookmarkEnd w:id="58"/>
      <w:r>
        <w:t>扰动土地情况监测频次与方法</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0"/>
        <w:gridCol w:w="1991"/>
        <w:gridCol w:w="3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5" w:type="pct"/>
            <w:noWrap w:val="0"/>
            <w:vAlign w:val="center"/>
          </w:tcPr>
          <w:p>
            <w:pPr>
              <w:pStyle w:val="17"/>
              <w:bidi w:val="0"/>
              <w:rPr>
                <w:lang w:val="en-US" w:eastAsia="zh-CN"/>
              </w:rPr>
            </w:pPr>
            <w:r>
              <w:rPr>
                <w:lang w:val="en-US" w:eastAsia="zh-CN"/>
              </w:rPr>
              <w:t>项目</w:t>
            </w:r>
          </w:p>
        </w:tc>
        <w:tc>
          <w:tcPr>
            <w:tcW w:w="1168" w:type="pct"/>
            <w:noWrap w:val="0"/>
            <w:vAlign w:val="center"/>
          </w:tcPr>
          <w:p>
            <w:pPr>
              <w:pStyle w:val="17"/>
              <w:bidi w:val="0"/>
              <w:rPr>
                <w:lang w:val="en-US" w:eastAsia="zh-CN"/>
              </w:rPr>
            </w:pPr>
            <w:r>
              <w:rPr>
                <w:lang w:val="en-US" w:eastAsia="zh-CN"/>
              </w:rPr>
              <w:t>监测频次</w:t>
            </w:r>
          </w:p>
        </w:tc>
        <w:tc>
          <w:tcPr>
            <w:tcW w:w="2035" w:type="pct"/>
            <w:noWrap w:val="0"/>
            <w:vAlign w:val="center"/>
          </w:tcPr>
          <w:p>
            <w:pPr>
              <w:pStyle w:val="17"/>
              <w:bidi w:val="0"/>
              <w:rPr>
                <w:lang w:val="en-US" w:eastAsia="zh-CN"/>
              </w:rPr>
            </w:pPr>
            <w:r>
              <w:rPr>
                <w:lang w:val="en-US" w:eastAsia="zh-CN"/>
              </w:rPr>
              <w:t>监测方法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5" w:type="pct"/>
            <w:noWrap w:val="0"/>
            <w:vAlign w:val="center"/>
          </w:tcPr>
          <w:p>
            <w:pPr>
              <w:pStyle w:val="17"/>
              <w:bidi w:val="0"/>
              <w:rPr>
                <w:lang w:val="en-US" w:eastAsia="zh-CN"/>
              </w:rPr>
            </w:pPr>
            <w:r>
              <w:rPr>
                <w:lang w:val="en-US" w:eastAsia="zh-CN"/>
              </w:rPr>
              <w:t>扰动范围</w:t>
            </w:r>
          </w:p>
        </w:tc>
        <w:tc>
          <w:tcPr>
            <w:tcW w:w="1168" w:type="pct"/>
            <w:noWrap w:val="0"/>
            <w:vAlign w:val="center"/>
          </w:tcPr>
          <w:p>
            <w:pPr>
              <w:pStyle w:val="17"/>
              <w:bidi w:val="0"/>
              <w:rPr>
                <w:lang w:val="en-US" w:eastAsia="zh-CN"/>
              </w:rPr>
            </w:pPr>
            <w:r>
              <w:rPr>
                <w:lang w:val="en-US" w:eastAsia="zh-CN"/>
              </w:rPr>
              <w:t>每季度一次</w:t>
            </w:r>
          </w:p>
        </w:tc>
        <w:tc>
          <w:tcPr>
            <w:tcW w:w="2035" w:type="pct"/>
            <w:noWrap w:val="0"/>
            <w:vAlign w:val="center"/>
          </w:tcPr>
          <w:p>
            <w:pPr>
              <w:pStyle w:val="17"/>
              <w:bidi w:val="0"/>
              <w:rPr>
                <w:lang w:val="en-US" w:eastAsia="zh-CN"/>
              </w:rPr>
            </w:pPr>
            <w:r>
              <w:rPr>
                <w:lang w:val="en-US" w:eastAsia="zh-CN"/>
              </w:rPr>
              <w:t>遥感监测、实地量测、资料分析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5" w:type="pct"/>
            <w:noWrap w:val="0"/>
            <w:vAlign w:val="center"/>
          </w:tcPr>
          <w:p>
            <w:pPr>
              <w:pStyle w:val="17"/>
              <w:bidi w:val="0"/>
              <w:rPr>
                <w:lang w:val="en-US" w:eastAsia="zh-CN"/>
              </w:rPr>
            </w:pPr>
            <w:r>
              <w:rPr>
                <w:lang w:val="en-US" w:eastAsia="zh-CN"/>
              </w:rPr>
              <w:t>扰动面积</w:t>
            </w:r>
          </w:p>
        </w:tc>
        <w:tc>
          <w:tcPr>
            <w:tcW w:w="1168" w:type="pct"/>
            <w:noWrap w:val="0"/>
            <w:vAlign w:val="center"/>
          </w:tcPr>
          <w:p>
            <w:pPr>
              <w:pStyle w:val="17"/>
              <w:bidi w:val="0"/>
              <w:rPr>
                <w:lang w:val="en-US" w:eastAsia="zh-CN"/>
              </w:rPr>
            </w:pPr>
            <w:r>
              <w:rPr>
                <w:lang w:val="en-US" w:eastAsia="zh-CN"/>
              </w:rPr>
              <w:t>每季度一次</w:t>
            </w:r>
          </w:p>
        </w:tc>
        <w:tc>
          <w:tcPr>
            <w:tcW w:w="2035" w:type="pct"/>
            <w:noWrap w:val="0"/>
            <w:vAlign w:val="center"/>
          </w:tcPr>
          <w:p>
            <w:pPr>
              <w:pStyle w:val="17"/>
              <w:bidi w:val="0"/>
              <w:rPr>
                <w:lang w:val="en-US" w:eastAsia="zh-CN"/>
              </w:rPr>
            </w:pPr>
            <w:r>
              <w:rPr>
                <w:lang w:val="en-US" w:eastAsia="zh-CN"/>
              </w:rPr>
              <w:t>遥感监测、实地量测、资料分析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5" w:type="pct"/>
            <w:noWrap w:val="0"/>
            <w:vAlign w:val="center"/>
          </w:tcPr>
          <w:p>
            <w:pPr>
              <w:pStyle w:val="17"/>
              <w:bidi w:val="0"/>
              <w:rPr>
                <w:lang w:val="en-US" w:eastAsia="zh-CN"/>
              </w:rPr>
            </w:pPr>
            <w:r>
              <w:rPr>
                <w:lang w:val="en-US" w:eastAsia="zh-CN"/>
              </w:rPr>
              <w:t>土地利用类型及其变化情况</w:t>
            </w:r>
          </w:p>
        </w:tc>
        <w:tc>
          <w:tcPr>
            <w:tcW w:w="1168" w:type="pct"/>
            <w:noWrap w:val="0"/>
            <w:vAlign w:val="center"/>
          </w:tcPr>
          <w:p>
            <w:pPr>
              <w:pStyle w:val="17"/>
              <w:bidi w:val="0"/>
              <w:rPr>
                <w:lang w:val="en-US" w:eastAsia="zh-CN"/>
              </w:rPr>
            </w:pPr>
            <w:r>
              <w:rPr>
                <w:lang w:val="en-US" w:eastAsia="zh-CN"/>
              </w:rPr>
              <w:t>每季度一次</w:t>
            </w:r>
          </w:p>
        </w:tc>
        <w:tc>
          <w:tcPr>
            <w:tcW w:w="2035" w:type="pct"/>
            <w:noWrap w:val="0"/>
            <w:vAlign w:val="center"/>
          </w:tcPr>
          <w:p>
            <w:pPr>
              <w:pStyle w:val="17"/>
              <w:bidi w:val="0"/>
              <w:rPr>
                <w:lang w:val="en-US" w:eastAsia="zh-CN"/>
              </w:rPr>
            </w:pPr>
            <w:r>
              <w:rPr>
                <w:lang w:val="en-US" w:eastAsia="zh-CN"/>
              </w:rPr>
              <w:t>遥感监测、实地量测、资料分析</w:t>
            </w:r>
          </w:p>
        </w:tc>
      </w:tr>
    </w:tbl>
    <w:p>
      <w:pPr>
        <w:pStyle w:val="4"/>
        <w:outlineLvl w:val="0"/>
      </w:pPr>
      <w:bookmarkStart w:id="59" w:name="_Toc1463"/>
      <w:bookmarkStart w:id="60" w:name="_Toc32236"/>
      <w:bookmarkStart w:id="61" w:name="_Toc44318479"/>
      <w:bookmarkStart w:id="62" w:name="_Toc519759665"/>
      <w:r>
        <w:t>2.2取料、弃渣</w:t>
      </w:r>
      <w:bookmarkEnd w:id="59"/>
      <w:bookmarkEnd w:id="60"/>
      <w:bookmarkEnd w:id="61"/>
      <w:bookmarkEnd w:id="62"/>
    </w:p>
    <w:p>
      <w:pPr>
        <w:pStyle w:val="5"/>
        <w:adjustRightInd w:val="0"/>
        <w:spacing w:line="360" w:lineRule="auto"/>
        <w:outlineLvl w:val="1"/>
        <w:rPr>
          <w:rFonts w:eastAsia="仿宋_GB2312"/>
          <w:sz w:val="24"/>
          <w:szCs w:val="24"/>
        </w:rPr>
      </w:pPr>
      <w:bookmarkStart w:id="63" w:name="_Toc14912"/>
      <w:bookmarkStart w:id="64" w:name="_Toc12036"/>
      <w:r>
        <w:rPr>
          <w:rFonts w:eastAsia="仿宋_GB2312"/>
          <w:sz w:val="24"/>
          <w:szCs w:val="24"/>
        </w:rPr>
        <w:t>2.2.1</w:t>
      </w:r>
      <w:r>
        <w:rPr>
          <w:rFonts w:eastAsia="仿宋_GB2312"/>
          <w:bCs w:val="0"/>
          <w:sz w:val="24"/>
          <w:szCs w:val="24"/>
        </w:rPr>
        <w:t>取料情况监测</w:t>
      </w:r>
      <w:bookmarkEnd w:id="63"/>
      <w:bookmarkEnd w:id="64"/>
    </w:p>
    <w:p>
      <w:pPr>
        <w:pStyle w:val="24"/>
      </w:pPr>
      <w:r>
        <w:t>在监测过程中对土方来源、方量进行监测。</w:t>
      </w:r>
    </w:p>
    <w:p>
      <w:pPr>
        <w:pStyle w:val="24"/>
      </w:pPr>
      <w:r>
        <w:t>本项目对工程土方来源、方量采取现场调查和查阅施工日志、监理资料相结合的方法开展。监测频次与方法见</w:t>
      </w:r>
      <w:r>
        <w:rPr>
          <w:rFonts w:hint="default"/>
          <w:lang w:val="en-US"/>
        </w:rPr>
        <w:fldChar w:fldCharType="begin"/>
      </w:r>
      <w:r>
        <w:rPr>
          <w:rFonts w:hint="default"/>
          <w:lang w:val="en-US"/>
        </w:rPr>
        <w:instrText xml:space="preserve"> REF _Ref992 \h </w:instrText>
      </w:r>
      <w:r>
        <w:rPr>
          <w:rFonts w:hint="default"/>
          <w:lang w:val="en-US"/>
        </w:rPr>
        <w:fldChar w:fldCharType="separate"/>
      </w:r>
      <w:r>
        <w:t>表2.1- 2</w:t>
      </w:r>
      <w:r>
        <w:rPr>
          <w:rFonts w:hint="default"/>
          <w:lang w:val="en-US"/>
        </w:rPr>
        <w:fldChar w:fldCharType="end"/>
      </w:r>
      <w:r>
        <w:t>。</w:t>
      </w:r>
    </w:p>
    <w:p>
      <w:pPr>
        <w:pStyle w:val="7"/>
        <w:bidi w:val="0"/>
      </w:pPr>
      <w:bookmarkStart w:id="65" w:name="_Ref992"/>
      <w:r>
        <w:t xml:space="preserve">表2.1- </w:t>
      </w:r>
      <w:r>
        <w:fldChar w:fldCharType="begin"/>
      </w:r>
      <w:r>
        <w:instrText xml:space="preserve"> SEQ 表2.1- \* ARABIC </w:instrText>
      </w:r>
      <w:r>
        <w:fldChar w:fldCharType="separate"/>
      </w:r>
      <w:r>
        <w:t>2</w:t>
      </w:r>
      <w:r>
        <w:fldChar w:fldCharType="end"/>
      </w:r>
      <w:bookmarkEnd w:id="65"/>
      <w:r>
        <w:t>取土情况监测频次与方法</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3"/>
        <w:gridCol w:w="2557"/>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pct"/>
            <w:noWrap w:val="0"/>
            <w:vAlign w:val="center"/>
          </w:tcPr>
          <w:p>
            <w:pPr>
              <w:pStyle w:val="17"/>
              <w:bidi w:val="0"/>
              <w:rPr>
                <w:lang w:val="en-US" w:eastAsia="zh-CN"/>
              </w:rPr>
            </w:pPr>
            <w:r>
              <w:rPr>
                <w:lang w:val="en-US" w:eastAsia="zh-CN"/>
              </w:rPr>
              <w:t>项目</w:t>
            </w:r>
          </w:p>
        </w:tc>
        <w:tc>
          <w:tcPr>
            <w:tcW w:w="1500" w:type="pct"/>
            <w:noWrap w:val="0"/>
            <w:vAlign w:val="center"/>
          </w:tcPr>
          <w:p>
            <w:pPr>
              <w:pStyle w:val="17"/>
              <w:bidi w:val="0"/>
              <w:rPr>
                <w:lang w:val="en-US" w:eastAsia="zh-CN"/>
              </w:rPr>
            </w:pPr>
            <w:r>
              <w:rPr>
                <w:lang w:val="en-US" w:eastAsia="zh-CN"/>
              </w:rPr>
              <w:t>监测频次</w:t>
            </w:r>
          </w:p>
        </w:tc>
        <w:tc>
          <w:tcPr>
            <w:tcW w:w="2095" w:type="pct"/>
            <w:noWrap w:val="0"/>
            <w:vAlign w:val="center"/>
          </w:tcPr>
          <w:p>
            <w:pPr>
              <w:pStyle w:val="17"/>
              <w:bidi w:val="0"/>
              <w:rPr>
                <w:lang w:val="en-US" w:eastAsia="zh-CN"/>
              </w:rPr>
            </w:pPr>
            <w:r>
              <w:rPr>
                <w:lang w:val="en-US" w:eastAsia="zh-CN"/>
              </w:rPr>
              <w:t>监测方法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pct"/>
            <w:noWrap w:val="0"/>
            <w:vAlign w:val="center"/>
          </w:tcPr>
          <w:p>
            <w:pPr>
              <w:pStyle w:val="17"/>
              <w:bidi w:val="0"/>
              <w:rPr>
                <w:lang w:val="en-US" w:eastAsia="zh-CN"/>
              </w:rPr>
            </w:pPr>
            <w:r>
              <w:rPr>
                <w:lang w:val="en-US" w:eastAsia="zh-CN"/>
              </w:rPr>
              <w:t>来源</w:t>
            </w:r>
          </w:p>
        </w:tc>
        <w:tc>
          <w:tcPr>
            <w:tcW w:w="1500" w:type="pct"/>
            <w:noWrap w:val="0"/>
            <w:vAlign w:val="center"/>
          </w:tcPr>
          <w:p>
            <w:pPr>
              <w:pStyle w:val="17"/>
              <w:bidi w:val="0"/>
              <w:rPr>
                <w:lang w:val="en-US" w:eastAsia="zh-CN"/>
              </w:rPr>
            </w:pPr>
            <w:r>
              <w:rPr>
                <w:lang w:val="en-US" w:eastAsia="zh-CN"/>
              </w:rPr>
              <w:t>每月一次</w:t>
            </w:r>
          </w:p>
        </w:tc>
        <w:tc>
          <w:tcPr>
            <w:tcW w:w="2095" w:type="pct"/>
            <w:noWrap w:val="0"/>
            <w:vAlign w:val="center"/>
          </w:tcPr>
          <w:p>
            <w:pPr>
              <w:pStyle w:val="17"/>
              <w:bidi w:val="0"/>
              <w:rPr>
                <w:lang w:val="en-US" w:eastAsia="zh-CN"/>
              </w:rPr>
            </w:pPr>
            <w:r>
              <w:rPr>
                <w:lang w:val="en-US" w:eastAsia="zh-CN"/>
              </w:rPr>
              <w:t>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pct"/>
            <w:noWrap w:val="0"/>
            <w:vAlign w:val="center"/>
          </w:tcPr>
          <w:p>
            <w:pPr>
              <w:pStyle w:val="17"/>
              <w:bidi w:val="0"/>
              <w:rPr>
                <w:lang w:val="en-US" w:eastAsia="zh-CN"/>
              </w:rPr>
            </w:pPr>
            <w:r>
              <w:rPr>
                <w:lang w:val="en-US" w:eastAsia="zh-CN"/>
              </w:rPr>
              <w:t>方量</w:t>
            </w:r>
          </w:p>
        </w:tc>
        <w:tc>
          <w:tcPr>
            <w:tcW w:w="1500" w:type="pct"/>
            <w:noWrap w:val="0"/>
            <w:vAlign w:val="center"/>
          </w:tcPr>
          <w:p>
            <w:pPr>
              <w:pStyle w:val="17"/>
              <w:bidi w:val="0"/>
              <w:rPr>
                <w:lang w:val="en-US" w:eastAsia="zh-CN"/>
              </w:rPr>
            </w:pPr>
            <w:r>
              <w:rPr>
                <w:lang w:val="en-US" w:eastAsia="zh-CN"/>
              </w:rPr>
              <w:t>每十天一次</w:t>
            </w:r>
          </w:p>
        </w:tc>
        <w:tc>
          <w:tcPr>
            <w:tcW w:w="2095" w:type="pct"/>
            <w:noWrap w:val="0"/>
            <w:vAlign w:val="center"/>
          </w:tcPr>
          <w:p>
            <w:pPr>
              <w:pStyle w:val="17"/>
              <w:bidi w:val="0"/>
              <w:rPr>
                <w:lang w:val="en-US" w:eastAsia="zh-CN"/>
              </w:rPr>
            </w:pPr>
            <w:r>
              <w:rPr>
                <w:lang w:val="en-US" w:eastAsia="zh-CN"/>
              </w:rPr>
              <w:t>实地量测、资料分析</w:t>
            </w:r>
          </w:p>
        </w:tc>
      </w:tr>
    </w:tbl>
    <w:p>
      <w:pPr>
        <w:pStyle w:val="5"/>
        <w:adjustRightInd w:val="0"/>
        <w:spacing w:line="360" w:lineRule="auto"/>
        <w:outlineLvl w:val="1"/>
        <w:rPr>
          <w:rFonts w:eastAsia="仿宋_GB2312"/>
          <w:sz w:val="24"/>
          <w:szCs w:val="24"/>
        </w:rPr>
      </w:pPr>
      <w:bookmarkStart w:id="66" w:name="_Toc13543"/>
      <w:bookmarkStart w:id="67" w:name="_Toc10229"/>
      <w:r>
        <w:rPr>
          <w:rFonts w:eastAsia="仿宋_GB2312"/>
          <w:sz w:val="24"/>
          <w:szCs w:val="24"/>
        </w:rPr>
        <w:t>2.2.2</w:t>
      </w:r>
      <w:r>
        <w:rPr>
          <w:rFonts w:eastAsia="仿宋_GB2312"/>
          <w:bCs w:val="0"/>
          <w:sz w:val="24"/>
          <w:szCs w:val="24"/>
        </w:rPr>
        <w:t>弃渣情况监测</w:t>
      </w:r>
      <w:bookmarkEnd w:id="66"/>
      <w:bookmarkEnd w:id="67"/>
    </w:p>
    <w:p>
      <w:pPr>
        <w:pStyle w:val="24"/>
      </w:pPr>
      <w:r>
        <w:t>在监测过程中对弃渣的去向、弃渣方量进行监测。</w:t>
      </w:r>
    </w:p>
    <w:p>
      <w:pPr>
        <w:pStyle w:val="24"/>
      </w:pPr>
      <w:r>
        <w:t>本项目的弃渣监测采取现场调查和查阅施工日志、监理资料相结合的方法开展，监测频次与方法见</w:t>
      </w:r>
      <w:r>
        <w:rPr>
          <w:rFonts w:hint="default"/>
          <w:lang w:val="en-US"/>
        </w:rPr>
        <w:fldChar w:fldCharType="begin"/>
      </w:r>
      <w:r>
        <w:rPr>
          <w:rFonts w:hint="default"/>
          <w:lang w:val="en-US"/>
        </w:rPr>
        <w:instrText xml:space="preserve"> REF _Ref1034 \h </w:instrText>
      </w:r>
      <w:r>
        <w:rPr>
          <w:rFonts w:hint="default"/>
          <w:lang w:val="en-US"/>
        </w:rPr>
        <w:fldChar w:fldCharType="separate"/>
      </w:r>
      <w:r>
        <w:t>表2.1- 3</w:t>
      </w:r>
      <w:r>
        <w:rPr>
          <w:rFonts w:hint="default"/>
          <w:lang w:val="en-US"/>
        </w:rPr>
        <w:fldChar w:fldCharType="end"/>
      </w:r>
      <w:r>
        <w:t>。</w:t>
      </w:r>
    </w:p>
    <w:p>
      <w:bookmarkStart w:id="68" w:name="_Ref1034"/>
      <w:r>
        <w:br w:type="page"/>
      </w:r>
    </w:p>
    <w:p>
      <w:pPr>
        <w:pStyle w:val="7"/>
        <w:bidi w:val="0"/>
      </w:pPr>
      <w:r>
        <w:t xml:space="preserve">表2.1- </w:t>
      </w:r>
      <w:r>
        <w:fldChar w:fldCharType="begin"/>
      </w:r>
      <w:r>
        <w:instrText xml:space="preserve"> SEQ 表2.1- \* ARABIC </w:instrText>
      </w:r>
      <w:r>
        <w:fldChar w:fldCharType="separate"/>
      </w:r>
      <w:r>
        <w:t>3</w:t>
      </w:r>
      <w:r>
        <w:fldChar w:fldCharType="end"/>
      </w:r>
      <w:bookmarkEnd w:id="68"/>
      <w:r>
        <w:t>弃渣情况监测频次与方法</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3"/>
        <w:gridCol w:w="2557"/>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4" w:type="pct"/>
            <w:noWrap w:val="0"/>
            <w:vAlign w:val="center"/>
          </w:tcPr>
          <w:p>
            <w:pPr>
              <w:pStyle w:val="17"/>
              <w:bidi w:val="0"/>
              <w:rPr>
                <w:lang w:val="en-US" w:eastAsia="zh-CN"/>
              </w:rPr>
            </w:pPr>
            <w:r>
              <w:rPr>
                <w:lang w:val="en-US" w:eastAsia="zh-CN"/>
              </w:rPr>
              <w:t>项目</w:t>
            </w:r>
          </w:p>
        </w:tc>
        <w:tc>
          <w:tcPr>
            <w:tcW w:w="1500" w:type="pct"/>
            <w:noWrap w:val="0"/>
            <w:vAlign w:val="center"/>
          </w:tcPr>
          <w:p>
            <w:pPr>
              <w:pStyle w:val="17"/>
              <w:bidi w:val="0"/>
              <w:rPr>
                <w:lang w:val="en-US" w:eastAsia="zh-CN"/>
              </w:rPr>
            </w:pPr>
            <w:r>
              <w:rPr>
                <w:lang w:val="en-US" w:eastAsia="zh-CN"/>
              </w:rPr>
              <w:t>监测频次</w:t>
            </w:r>
          </w:p>
        </w:tc>
        <w:tc>
          <w:tcPr>
            <w:tcW w:w="2095" w:type="pct"/>
            <w:noWrap w:val="0"/>
            <w:vAlign w:val="center"/>
          </w:tcPr>
          <w:p>
            <w:pPr>
              <w:pStyle w:val="17"/>
              <w:bidi w:val="0"/>
              <w:rPr>
                <w:lang w:val="en-US" w:eastAsia="zh-CN"/>
              </w:rPr>
            </w:pPr>
            <w:r>
              <w:rPr>
                <w:lang w:val="en-US" w:eastAsia="zh-CN"/>
              </w:rPr>
              <w:t>监测方法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4" w:type="pct"/>
            <w:noWrap w:val="0"/>
            <w:vAlign w:val="center"/>
          </w:tcPr>
          <w:p>
            <w:pPr>
              <w:pStyle w:val="17"/>
              <w:bidi w:val="0"/>
              <w:rPr>
                <w:lang w:val="en-US" w:eastAsia="zh-CN"/>
              </w:rPr>
            </w:pPr>
            <w:r>
              <w:rPr>
                <w:lang w:val="en-US" w:eastAsia="zh-CN"/>
              </w:rPr>
              <w:t>弃渣去向</w:t>
            </w:r>
          </w:p>
        </w:tc>
        <w:tc>
          <w:tcPr>
            <w:tcW w:w="1500" w:type="pct"/>
            <w:noWrap w:val="0"/>
            <w:vAlign w:val="center"/>
          </w:tcPr>
          <w:p>
            <w:pPr>
              <w:pStyle w:val="17"/>
              <w:bidi w:val="0"/>
              <w:rPr>
                <w:lang w:val="en-US" w:eastAsia="zh-CN"/>
              </w:rPr>
            </w:pPr>
            <w:r>
              <w:rPr>
                <w:lang w:val="en-US" w:eastAsia="zh-CN"/>
              </w:rPr>
              <w:t>每月一次</w:t>
            </w:r>
          </w:p>
        </w:tc>
        <w:tc>
          <w:tcPr>
            <w:tcW w:w="2095" w:type="pct"/>
            <w:noWrap w:val="0"/>
            <w:vAlign w:val="center"/>
          </w:tcPr>
          <w:p>
            <w:pPr>
              <w:pStyle w:val="17"/>
              <w:bidi w:val="0"/>
              <w:rPr>
                <w:lang w:val="en-US" w:eastAsia="zh-CN"/>
              </w:rPr>
            </w:pPr>
            <w:r>
              <w:rPr>
                <w:lang w:val="en-US" w:eastAsia="zh-CN"/>
              </w:rPr>
              <w:t>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4" w:type="pct"/>
            <w:noWrap w:val="0"/>
            <w:vAlign w:val="center"/>
          </w:tcPr>
          <w:p>
            <w:pPr>
              <w:pStyle w:val="17"/>
              <w:bidi w:val="0"/>
              <w:rPr>
                <w:lang w:val="en-US" w:eastAsia="zh-CN"/>
              </w:rPr>
            </w:pPr>
            <w:r>
              <w:rPr>
                <w:lang w:val="en-US" w:eastAsia="zh-CN"/>
              </w:rPr>
              <w:t>弃渣方量</w:t>
            </w:r>
          </w:p>
        </w:tc>
        <w:tc>
          <w:tcPr>
            <w:tcW w:w="1500" w:type="pct"/>
            <w:noWrap w:val="0"/>
            <w:vAlign w:val="center"/>
          </w:tcPr>
          <w:p>
            <w:pPr>
              <w:pStyle w:val="17"/>
              <w:bidi w:val="0"/>
              <w:rPr>
                <w:lang w:val="en-US" w:eastAsia="zh-CN"/>
              </w:rPr>
            </w:pPr>
            <w:r>
              <w:rPr>
                <w:lang w:val="en-US" w:eastAsia="zh-CN"/>
              </w:rPr>
              <w:t>每十天一次</w:t>
            </w:r>
          </w:p>
        </w:tc>
        <w:tc>
          <w:tcPr>
            <w:tcW w:w="2095" w:type="pct"/>
            <w:noWrap w:val="0"/>
            <w:vAlign w:val="center"/>
          </w:tcPr>
          <w:p>
            <w:pPr>
              <w:pStyle w:val="17"/>
              <w:bidi w:val="0"/>
              <w:rPr>
                <w:lang w:val="en-US" w:eastAsia="zh-CN"/>
              </w:rPr>
            </w:pPr>
            <w:r>
              <w:rPr>
                <w:lang w:val="en-US" w:eastAsia="zh-CN"/>
              </w:rPr>
              <w:t>实地量测、资料分析</w:t>
            </w:r>
          </w:p>
        </w:tc>
      </w:tr>
    </w:tbl>
    <w:p>
      <w:pPr>
        <w:pStyle w:val="4"/>
        <w:outlineLvl w:val="0"/>
      </w:pPr>
      <w:bookmarkStart w:id="69" w:name="_Toc12037"/>
      <w:bookmarkStart w:id="70" w:name="_Toc44318480"/>
      <w:bookmarkStart w:id="71" w:name="_Toc23928"/>
      <w:bookmarkStart w:id="72" w:name="_Toc519759666"/>
      <w:r>
        <w:t>2.3水土保持措施</w:t>
      </w:r>
      <w:bookmarkEnd w:id="69"/>
      <w:bookmarkEnd w:id="70"/>
      <w:bookmarkEnd w:id="71"/>
      <w:bookmarkEnd w:id="72"/>
    </w:p>
    <w:p>
      <w:pPr>
        <w:pStyle w:val="24"/>
      </w:pPr>
      <w:r>
        <w:t>结合水土保持监理报告，通过现场调查对实施的水土保持工程措施的数量、质量、面积及植物措施的成活、保存和生长情况进行监测。水土保持措施监测频次与方法见</w:t>
      </w:r>
      <w:r>
        <w:rPr>
          <w:rFonts w:hint="default"/>
          <w:lang w:val="en-US"/>
        </w:rPr>
        <w:fldChar w:fldCharType="begin"/>
      </w:r>
      <w:r>
        <w:rPr>
          <w:rFonts w:hint="default"/>
          <w:lang w:val="en-US"/>
        </w:rPr>
        <w:instrText xml:space="preserve"> REF _Ref1096 \h </w:instrText>
      </w:r>
      <w:r>
        <w:rPr>
          <w:rFonts w:hint="default"/>
          <w:lang w:val="en-US"/>
        </w:rPr>
        <w:fldChar w:fldCharType="separate"/>
      </w:r>
      <w:r>
        <w:t>表2.1- 4</w:t>
      </w:r>
      <w:r>
        <w:rPr>
          <w:rFonts w:hint="default"/>
          <w:lang w:val="en-US"/>
        </w:rPr>
        <w:fldChar w:fldCharType="end"/>
      </w:r>
      <w:r>
        <w:t>。</w:t>
      </w:r>
    </w:p>
    <w:p>
      <w:pPr>
        <w:pStyle w:val="7"/>
        <w:bidi w:val="0"/>
      </w:pPr>
      <w:bookmarkStart w:id="73" w:name="_Ref1096"/>
      <w:r>
        <w:t xml:space="preserve">表2.1- </w:t>
      </w:r>
      <w:r>
        <w:fldChar w:fldCharType="begin"/>
      </w:r>
      <w:r>
        <w:instrText xml:space="preserve"> SEQ 表2.1- \* ARABIC </w:instrText>
      </w:r>
      <w:r>
        <w:fldChar w:fldCharType="separate"/>
      </w:r>
      <w:r>
        <w:t>4</w:t>
      </w:r>
      <w:r>
        <w:fldChar w:fldCharType="end"/>
      </w:r>
      <w:bookmarkEnd w:id="73"/>
      <w:r>
        <w:t>水土保持措施监测频次与方法</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9"/>
        <w:gridCol w:w="2553"/>
        <w:gridCol w:w="3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43" w:type="dxa"/>
            <w:noWrap w:val="0"/>
            <w:vAlign w:val="center"/>
          </w:tcPr>
          <w:p>
            <w:pPr>
              <w:pStyle w:val="17"/>
              <w:bidi w:val="0"/>
              <w:rPr>
                <w:lang w:val="en-US" w:eastAsia="zh-CN"/>
              </w:rPr>
            </w:pPr>
            <w:r>
              <w:rPr>
                <w:lang w:val="en-US" w:eastAsia="zh-CN"/>
              </w:rPr>
              <w:t>项目</w:t>
            </w:r>
          </w:p>
        </w:tc>
        <w:tc>
          <w:tcPr>
            <w:tcW w:w="2694" w:type="dxa"/>
            <w:noWrap w:val="0"/>
            <w:vAlign w:val="center"/>
          </w:tcPr>
          <w:p>
            <w:pPr>
              <w:pStyle w:val="17"/>
              <w:bidi w:val="0"/>
              <w:rPr>
                <w:lang w:val="en-US" w:eastAsia="zh-CN"/>
              </w:rPr>
            </w:pPr>
            <w:r>
              <w:rPr>
                <w:lang w:val="en-US" w:eastAsia="zh-CN"/>
              </w:rPr>
              <w:t>监测频次</w:t>
            </w:r>
          </w:p>
        </w:tc>
        <w:tc>
          <w:tcPr>
            <w:tcW w:w="3339" w:type="dxa"/>
            <w:noWrap w:val="0"/>
            <w:vAlign w:val="center"/>
          </w:tcPr>
          <w:p>
            <w:pPr>
              <w:pStyle w:val="17"/>
              <w:bidi w:val="0"/>
              <w:rPr>
                <w:lang w:val="en-US" w:eastAsia="zh-CN"/>
              </w:rPr>
            </w:pPr>
            <w:r>
              <w:rPr>
                <w:lang w:val="en-US" w:eastAsia="zh-CN"/>
              </w:rPr>
              <w:t>监测方法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43" w:type="dxa"/>
            <w:noWrap w:val="0"/>
            <w:vAlign w:val="center"/>
          </w:tcPr>
          <w:p>
            <w:pPr>
              <w:pStyle w:val="17"/>
              <w:bidi w:val="0"/>
              <w:rPr>
                <w:lang w:val="en-US" w:eastAsia="zh-CN"/>
              </w:rPr>
            </w:pPr>
            <w:r>
              <w:rPr>
                <w:lang w:val="en-US" w:eastAsia="zh-CN"/>
              </w:rPr>
              <w:t>水土保持措施类型</w:t>
            </w:r>
          </w:p>
        </w:tc>
        <w:tc>
          <w:tcPr>
            <w:tcW w:w="2694" w:type="dxa"/>
            <w:noWrap w:val="0"/>
            <w:vAlign w:val="center"/>
          </w:tcPr>
          <w:p>
            <w:pPr>
              <w:pStyle w:val="17"/>
              <w:bidi w:val="0"/>
              <w:rPr>
                <w:lang w:val="en-US" w:eastAsia="zh-CN"/>
              </w:rPr>
            </w:pPr>
            <w:r>
              <w:rPr>
                <w:lang w:val="en-US" w:eastAsia="zh-CN"/>
              </w:rPr>
              <w:t>每月一次</w:t>
            </w:r>
          </w:p>
        </w:tc>
        <w:tc>
          <w:tcPr>
            <w:tcW w:w="3339" w:type="dxa"/>
            <w:noWrap w:val="0"/>
            <w:vAlign w:val="center"/>
          </w:tcPr>
          <w:p>
            <w:pPr>
              <w:pStyle w:val="17"/>
              <w:bidi w:val="0"/>
              <w:rPr>
                <w:lang w:val="en-US" w:eastAsia="zh-CN"/>
              </w:rPr>
            </w:pPr>
            <w:r>
              <w:rPr>
                <w:lang w:val="en-US" w:eastAsia="zh-CN"/>
              </w:rPr>
              <w:t>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43" w:type="dxa"/>
            <w:noWrap w:val="0"/>
            <w:vAlign w:val="center"/>
          </w:tcPr>
          <w:p>
            <w:pPr>
              <w:pStyle w:val="17"/>
              <w:bidi w:val="0"/>
              <w:rPr>
                <w:lang w:val="en-US" w:eastAsia="zh-CN"/>
              </w:rPr>
            </w:pPr>
            <w:r>
              <w:rPr>
                <w:lang w:val="en-US" w:eastAsia="zh-CN"/>
              </w:rPr>
              <w:t>开工与完工日期</w:t>
            </w:r>
          </w:p>
        </w:tc>
        <w:tc>
          <w:tcPr>
            <w:tcW w:w="2694" w:type="dxa"/>
            <w:noWrap w:val="0"/>
            <w:vAlign w:val="center"/>
          </w:tcPr>
          <w:p>
            <w:pPr>
              <w:pStyle w:val="17"/>
              <w:bidi w:val="0"/>
              <w:rPr>
                <w:lang w:val="en-US" w:eastAsia="zh-CN"/>
              </w:rPr>
            </w:pPr>
            <w:r>
              <w:rPr>
                <w:lang w:val="en-US" w:eastAsia="zh-CN"/>
              </w:rPr>
              <w:t>开工和完工后各监测一次</w:t>
            </w:r>
          </w:p>
        </w:tc>
        <w:tc>
          <w:tcPr>
            <w:tcW w:w="3339" w:type="dxa"/>
            <w:noWrap w:val="0"/>
            <w:vAlign w:val="center"/>
          </w:tcPr>
          <w:p>
            <w:pPr>
              <w:pStyle w:val="17"/>
              <w:bidi w:val="0"/>
              <w:rPr>
                <w:lang w:val="en-US" w:eastAsia="zh-CN"/>
              </w:rPr>
            </w:pPr>
            <w:r>
              <w:rPr>
                <w:lang w:val="en-US" w:eastAsia="zh-CN"/>
              </w:rPr>
              <w:t>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43" w:type="dxa"/>
            <w:noWrap w:val="0"/>
            <w:vAlign w:val="center"/>
          </w:tcPr>
          <w:p>
            <w:pPr>
              <w:pStyle w:val="17"/>
              <w:bidi w:val="0"/>
              <w:rPr>
                <w:lang w:val="en-US" w:eastAsia="zh-CN"/>
              </w:rPr>
            </w:pPr>
            <w:r>
              <w:rPr>
                <w:lang w:val="en-US" w:eastAsia="zh-CN"/>
              </w:rPr>
              <w:t>水土保持措施位置、数量</w:t>
            </w:r>
          </w:p>
        </w:tc>
        <w:tc>
          <w:tcPr>
            <w:tcW w:w="2694" w:type="dxa"/>
            <w:noWrap w:val="0"/>
            <w:vAlign w:val="center"/>
          </w:tcPr>
          <w:p>
            <w:pPr>
              <w:pStyle w:val="17"/>
              <w:bidi w:val="0"/>
              <w:rPr>
                <w:lang w:val="en-US" w:eastAsia="zh-CN"/>
              </w:rPr>
            </w:pPr>
            <w:r>
              <w:rPr>
                <w:lang w:val="en-US" w:eastAsia="zh-CN"/>
              </w:rPr>
              <w:t>每月一次</w:t>
            </w:r>
          </w:p>
        </w:tc>
        <w:tc>
          <w:tcPr>
            <w:tcW w:w="3339" w:type="dxa"/>
            <w:noWrap w:val="0"/>
            <w:vAlign w:val="center"/>
          </w:tcPr>
          <w:p>
            <w:pPr>
              <w:pStyle w:val="17"/>
              <w:bidi w:val="0"/>
              <w:rPr>
                <w:lang w:val="en-US" w:eastAsia="zh-CN"/>
              </w:rPr>
            </w:pPr>
            <w:r>
              <w:rPr>
                <w:lang w:val="en-US" w:eastAsia="zh-CN"/>
              </w:rPr>
              <w:t>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43" w:type="dxa"/>
            <w:noWrap w:val="0"/>
            <w:vAlign w:val="center"/>
          </w:tcPr>
          <w:p>
            <w:pPr>
              <w:pStyle w:val="17"/>
              <w:bidi w:val="0"/>
              <w:rPr>
                <w:lang w:val="en-US" w:eastAsia="zh-CN"/>
              </w:rPr>
            </w:pPr>
            <w:r>
              <w:rPr>
                <w:lang w:val="en-US" w:eastAsia="zh-CN"/>
              </w:rPr>
              <w:t>工程措施规格、尺寸</w:t>
            </w:r>
          </w:p>
        </w:tc>
        <w:tc>
          <w:tcPr>
            <w:tcW w:w="2694" w:type="dxa"/>
            <w:noWrap w:val="0"/>
            <w:vAlign w:val="center"/>
          </w:tcPr>
          <w:p>
            <w:pPr>
              <w:pStyle w:val="17"/>
              <w:bidi w:val="0"/>
              <w:rPr>
                <w:lang w:val="en-US" w:eastAsia="zh-CN"/>
              </w:rPr>
            </w:pPr>
            <w:r>
              <w:rPr>
                <w:lang w:val="en-US" w:eastAsia="zh-CN"/>
              </w:rPr>
              <w:t>每月一次</w:t>
            </w:r>
          </w:p>
        </w:tc>
        <w:tc>
          <w:tcPr>
            <w:tcW w:w="3339" w:type="dxa"/>
            <w:noWrap w:val="0"/>
            <w:vAlign w:val="center"/>
          </w:tcPr>
          <w:p>
            <w:pPr>
              <w:pStyle w:val="17"/>
              <w:bidi w:val="0"/>
              <w:rPr>
                <w:lang w:val="en-US" w:eastAsia="zh-CN"/>
              </w:rPr>
            </w:pPr>
            <w:r>
              <w:rPr>
                <w:lang w:val="en-US" w:eastAsia="zh-CN"/>
              </w:rPr>
              <w:t>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43" w:type="dxa"/>
            <w:noWrap w:val="0"/>
            <w:vAlign w:val="center"/>
          </w:tcPr>
          <w:p>
            <w:pPr>
              <w:pStyle w:val="17"/>
              <w:bidi w:val="0"/>
              <w:rPr>
                <w:lang w:val="en-US" w:eastAsia="zh-CN"/>
              </w:rPr>
            </w:pPr>
            <w:r>
              <w:rPr>
                <w:lang w:val="en-US" w:eastAsia="zh-CN"/>
              </w:rPr>
              <w:t>植物措施林草覆盖度</w:t>
            </w:r>
          </w:p>
        </w:tc>
        <w:tc>
          <w:tcPr>
            <w:tcW w:w="2694" w:type="dxa"/>
            <w:noWrap w:val="0"/>
            <w:vAlign w:val="center"/>
          </w:tcPr>
          <w:p>
            <w:pPr>
              <w:pStyle w:val="17"/>
              <w:bidi w:val="0"/>
              <w:rPr>
                <w:lang w:val="en-US" w:eastAsia="zh-CN"/>
              </w:rPr>
            </w:pPr>
            <w:r>
              <w:rPr>
                <w:lang w:val="en-US" w:eastAsia="zh-CN"/>
              </w:rPr>
              <w:t>植被恢复期每季度一次</w:t>
            </w:r>
          </w:p>
        </w:tc>
        <w:tc>
          <w:tcPr>
            <w:tcW w:w="3339" w:type="dxa"/>
            <w:noWrap w:val="0"/>
            <w:vAlign w:val="center"/>
          </w:tcPr>
          <w:p>
            <w:pPr>
              <w:pStyle w:val="17"/>
              <w:bidi w:val="0"/>
              <w:rPr>
                <w:lang w:val="en-US" w:eastAsia="zh-CN"/>
              </w:rPr>
            </w:pPr>
            <w:r>
              <w:rPr>
                <w:lang w:val="en-US" w:eastAsia="zh-CN"/>
              </w:rPr>
              <w:t>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43" w:type="dxa"/>
            <w:noWrap w:val="0"/>
            <w:vAlign w:val="center"/>
          </w:tcPr>
          <w:p>
            <w:pPr>
              <w:pStyle w:val="17"/>
              <w:bidi w:val="0"/>
              <w:rPr>
                <w:lang w:val="en-US" w:eastAsia="zh-CN"/>
              </w:rPr>
            </w:pPr>
            <w:r>
              <w:rPr>
                <w:lang w:val="en-US" w:eastAsia="zh-CN"/>
              </w:rPr>
              <w:t>临时措施规格、尺寸</w:t>
            </w:r>
          </w:p>
        </w:tc>
        <w:tc>
          <w:tcPr>
            <w:tcW w:w="2694" w:type="dxa"/>
            <w:noWrap w:val="0"/>
            <w:vAlign w:val="center"/>
          </w:tcPr>
          <w:p>
            <w:pPr>
              <w:pStyle w:val="17"/>
              <w:bidi w:val="0"/>
              <w:rPr>
                <w:lang w:val="en-US" w:eastAsia="zh-CN"/>
              </w:rPr>
            </w:pPr>
            <w:r>
              <w:rPr>
                <w:lang w:val="en-US" w:eastAsia="zh-CN"/>
              </w:rPr>
              <w:t>每月一次</w:t>
            </w:r>
          </w:p>
        </w:tc>
        <w:tc>
          <w:tcPr>
            <w:tcW w:w="3339" w:type="dxa"/>
            <w:noWrap w:val="0"/>
            <w:vAlign w:val="center"/>
          </w:tcPr>
          <w:p>
            <w:pPr>
              <w:pStyle w:val="17"/>
              <w:bidi w:val="0"/>
              <w:rPr>
                <w:lang w:val="en-US" w:eastAsia="zh-CN"/>
              </w:rPr>
            </w:pPr>
            <w:r>
              <w:rPr>
                <w:lang w:val="en-US" w:eastAsia="zh-CN"/>
              </w:rPr>
              <w:t>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43" w:type="dxa"/>
            <w:noWrap w:val="0"/>
            <w:vAlign w:val="center"/>
          </w:tcPr>
          <w:p>
            <w:pPr>
              <w:pStyle w:val="17"/>
              <w:bidi w:val="0"/>
              <w:rPr>
                <w:lang w:val="en-US" w:eastAsia="zh-CN"/>
              </w:rPr>
            </w:pPr>
            <w:r>
              <w:rPr>
                <w:lang w:val="en-US" w:eastAsia="zh-CN"/>
              </w:rPr>
              <w:t>水土保持措施防治效果</w:t>
            </w:r>
          </w:p>
        </w:tc>
        <w:tc>
          <w:tcPr>
            <w:tcW w:w="2694" w:type="dxa"/>
            <w:noWrap w:val="0"/>
            <w:vAlign w:val="center"/>
          </w:tcPr>
          <w:p>
            <w:pPr>
              <w:pStyle w:val="17"/>
              <w:bidi w:val="0"/>
              <w:rPr>
                <w:lang w:val="en-US" w:eastAsia="zh-CN"/>
              </w:rPr>
            </w:pPr>
            <w:r>
              <w:rPr>
                <w:lang w:val="en-US" w:eastAsia="zh-CN"/>
              </w:rPr>
              <w:t>每季度一次</w:t>
            </w:r>
          </w:p>
        </w:tc>
        <w:tc>
          <w:tcPr>
            <w:tcW w:w="3339" w:type="dxa"/>
            <w:noWrap w:val="0"/>
            <w:vAlign w:val="center"/>
          </w:tcPr>
          <w:p>
            <w:pPr>
              <w:pStyle w:val="17"/>
              <w:bidi w:val="0"/>
              <w:rPr>
                <w:lang w:val="en-US" w:eastAsia="zh-CN"/>
              </w:rPr>
            </w:pPr>
            <w:r>
              <w:rPr>
                <w:lang w:val="en-US" w:eastAsia="zh-CN"/>
              </w:rPr>
              <w:t>实地量测、资料分析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43" w:type="dxa"/>
            <w:noWrap w:val="0"/>
            <w:vAlign w:val="center"/>
          </w:tcPr>
          <w:p>
            <w:pPr>
              <w:pStyle w:val="17"/>
              <w:bidi w:val="0"/>
              <w:rPr>
                <w:lang w:val="en-US" w:eastAsia="zh-CN"/>
              </w:rPr>
            </w:pPr>
            <w:r>
              <w:rPr>
                <w:lang w:val="en-US" w:eastAsia="zh-CN"/>
              </w:rPr>
              <w:t>水土保持措施运行状况</w:t>
            </w:r>
          </w:p>
        </w:tc>
        <w:tc>
          <w:tcPr>
            <w:tcW w:w="2694" w:type="dxa"/>
            <w:noWrap w:val="0"/>
            <w:vAlign w:val="center"/>
          </w:tcPr>
          <w:p>
            <w:pPr>
              <w:pStyle w:val="17"/>
              <w:bidi w:val="0"/>
              <w:rPr>
                <w:lang w:val="en-US" w:eastAsia="zh-CN"/>
              </w:rPr>
            </w:pPr>
            <w:r>
              <w:rPr>
                <w:lang w:val="en-US" w:eastAsia="zh-CN"/>
              </w:rPr>
              <w:t>每季度一次</w:t>
            </w:r>
          </w:p>
        </w:tc>
        <w:tc>
          <w:tcPr>
            <w:tcW w:w="3339" w:type="dxa"/>
            <w:noWrap w:val="0"/>
            <w:vAlign w:val="center"/>
          </w:tcPr>
          <w:p>
            <w:pPr>
              <w:pStyle w:val="17"/>
              <w:bidi w:val="0"/>
              <w:rPr>
                <w:lang w:val="en-US" w:eastAsia="zh-CN"/>
              </w:rPr>
            </w:pPr>
            <w:r>
              <w:rPr>
                <w:lang w:val="en-US" w:eastAsia="zh-CN"/>
              </w:rPr>
              <w:t>实地量测、资料分析</w:t>
            </w:r>
          </w:p>
        </w:tc>
      </w:tr>
    </w:tbl>
    <w:p>
      <w:pPr>
        <w:pStyle w:val="4"/>
        <w:outlineLvl w:val="0"/>
      </w:pPr>
      <w:bookmarkStart w:id="74" w:name="_Toc4826"/>
      <w:bookmarkStart w:id="75" w:name="_Toc519759667"/>
      <w:bookmarkStart w:id="76" w:name="_Toc25569"/>
      <w:bookmarkStart w:id="77" w:name="_Toc44318481"/>
      <w:r>
        <w:t>2.4水土流失情况</w:t>
      </w:r>
      <w:bookmarkEnd w:id="74"/>
      <w:bookmarkEnd w:id="75"/>
      <w:bookmarkEnd w:id="76"/>
      <w:bookmarkEnd w:id="77"/>
    </w:p>
    <w:p>
      <w:pPr>
        <w:pStyle w:val="24"/>
      </w:pPr>
      <w:r>
        <w:t>对水土流失面积、土壤流失量、取料弃渣潜在土壤流失量和水土流失危害等进行监测，水土流失情况监测频次与方法见</w:t>
      </w:r>
      <w:r>
        <w:rPr>
          <w:rFonts w:hint="default"/>
          <w:lang w:val="en-US"/>
        </w:rPr>
        <w:fldChar w:fldCharType="begin"/>
      </w:r>
      <w:r>
        <w:rPr>
          <w:rFonts w:hint="default"/>
          <w:lang w:val="en-US"/>
        </w:rPr>
        <w:instrText xml:space="preserve"> REF _Ref1139 \h </w:instrText>
      </w:r>
      <w:r>
        <w:rPr>
          <w:rFonts w:hint="default"/>
          <w:lang w:val="en-US"/>
        </w:rPr>
        <w:fldChar w:fldCharType="separate"/>
      </w:r>
      <w:r>
        <w:t>表2.1- 5</w:t>
      </w:r>
      <w:r>
        <w:rPr>
          <w:rFonts w:hint="default"/>
          <w:lang w:val="en-US"/>
        </w:rPr>
        <w:fldChar w:fldCharType="end"/>
      </w:r>
      <w:r>
        <w:t>。</w:t>
      </w:r>
    </w:p>
    <w:p>
      <w:pPr>
        <w:pStyle w:val="7"/>
        <w:bidi w:val="0"/>
      </w:pPr>
      <w:bookmarkStart w:id="78" w:name="_Ref1139"/>
      <w:r>
        <w:t xml:space="preserve">表2.1- </w:t>
      </w:r>
      <w:r>
        <w:fldChar w:fldCharType="begin"/>
      </w:r>
      <w:r>
        <w:instrText xml:space="preserve"> SEQ 表2.1- \* ARABIC </w:instrText>
      </w:r>
      <w:r>
        <w:fldChar w:fldCharType="separate"/>
      </w:r>
      <w:r>
        <w:t>5</w:t>
      </w:r>
      <w:r>
        <w:fldChar w:fldCharType="end"/>
      </w:r>
      <w:bookmarkEnd w:id="78"/>
      <w:r>
        <w:t>水土流失情况监测频次与方法</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3"/>
        <w:gridCol w:w="243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5" w:type="dxa"/>
            <w:noWrap w:val="0"/>
            <w:vAlign w:val="center"/>
          </w:tcPr>
          <w:p>
            <w:pPr>
              <w:pStyle w:val="17"/>
              <w:bidi w:val="0"/>
              <w:rPr>
                <w:lang w:val="en-US" w:eastAsia="zh-CN"/>
              </w:rPr>
            </w:pPr>
            <w:r>
              <w:rPr>
                <w:lang w:val="en-US" w:eastAsia="zh-CN"/>
              </w:rPr>
              <w:t>项目</w:t>
            </w:r>
          </w:p>
        </w:tc>
        <w:tc>
          <w:tcPr>
            <w:tcW w:w="2551" w:type="dxa"/>
            <w:noWrap w:val="0"/>
            <w:vAlign w:val="center"/>
          </w:tcPr>
          <w:p>
            <w:pPr>
              <w:pStyle w:val="17"/>
              <w:bidi w:val="0"/>
              <w:rPr>
                <w:lang w:val="en-US" w:eastAsia="zh-CN"/>
              </w:rPr>
            </w:pPr>
            <w:r>
              <w:rPr>
                <w:lang w:val="en-US" w:eastAsia="zh-CN"/>
              </w:rPr>
              <w:t>监测频次</w:t>
            </w:r>
          </w:p>
        </w:tc>
        <w:tc>
          <w:tcPr>
            <w:tcW w:w="4184" w:type="dxa"/>
            <w:noWrap w:val="0"/>
            <w:vAlign w:val="center"/>
          </w:tcPr>
          <w:p>
            <w:pPr>
              <w:pStyle w:val="17"/>
              <w:bidi w:val="0"/>
              <w:rPr>
                <w:lang w:val="en-US" w:eastAsia="zh-CN"/>
              </w:rPr>
            </w:pPr>
            <w:r>
              <w:rPr>
                <w:lang w:val="en-US" w:eastAsia="zh-CN"/>
              </w:rPr>
              <w:t>监测方法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5" w:type="dxa"/>
            <w:noWrap w:val="0"/>
            <w:vAlign w:val="center"/>
          </w:tcPr>
          <w:p>
            <w:pPr>
              <w:pStyle w:val="17"/>
              <w:bidi w:val="0"/>
              <w:rPr>
                <w:lang w:val="en-US" w:eastAsia="zh-CN"/>
              </w:rPr>
            </w:pPr>
            <w:r>
              <w:rPr>
                <w:lang w:val="en-US" w:eastAsia="zh-CN"/>
              </w:rPr>
              <w:t>土壤流失面积</w:t>
            </w:r>
          </w:p>
        </w:tc>
        <w:tc>
          <w:tcPr>
            <w:tcW w:w="2551" w:type="dxa"/>
            <w:noWrap w:val="0"/>
            <w:vAlign w:val="center"/>
          </w:tcPr>
          <w:p>
            <w:pPr>
              <w:pStyle w:val="17"/>
              <w:bidi w:val="0"/>
              <w:rPr>
                <w:lang w:val="en-US" w:eastAsia="zh-CN"/>
              </w:rPr>
            </w:pPr>
            <w:r>
              <w:rPr>
                <w:lang w:val="en-US" w:eastAsia="zh-CN"/>
              </w:rPr>
              <w:t>每季度一次</w:t>
            </w:r>
          </w:p>
        </w:tc>
        <w:tc>
          <w:tcPr>
            <w:tcW w:w="4184" w:type="dxa"/>
            <w:noWrap w:val="0"/>
            <w:vAlign w:val="center"/>
          </w:tcPr>
          <w:p>
            <w:pPr>
              <w:pStyle w:val="17"/>
              <w:bidi w:val="0"/>
              <w:rPr>
                <w:lang w:val="en-US" w:eastAsia="zh-CN"/>
              </w:rPr>
            </w:pPr>
            <w:r>
              <w:rPr>
                <w:lang w:val="en-US" w:eastAsia="zh-CN"/>
              </w:rPr>
              <w:t>地面观测、实地量测、遥感监测和资料分析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5" w:type="dxa"/>
            <w:noWrap w:val="0"/>
            <w:vAlign w:val="center"/>
          </w:tcPr>
          <w:p>
            <w:pPr>
              <w:pStyle w:val="17"/>
              <w:bidi w:val="0"/>
              <w:rPr>
                <w:lang w:val="en-US" w:eastAsia="zh-CN"/>
              </w:rPr>
            </w:pPr>
            <w:r>
              <w:rPr>
                <w:lang w:val="en-US" w:eastAsia="zh-CN"/>
              </w:rPr>
              <w:t>土壤流失量</w:t>
            </w:r>
          </w:p>
        </w:tc>
        <w:tc>
          <w:tcPr>
            <w:tcW w:w="2551" w:type="dxa"/>
            <w:noWrap w:val="0"/>
            <w:vAlign w:val="center"/>
          </w:tcPr>
          <w:p>
            <w:pPr>
              <w:pStyle w:val="17"/>
              <w:bidi w:val="0"/>
              <w:rPr>
                <w:lang w:val="en-US" w:eastAsia="zh-CN"/>
              </w:rPr>
            </w:pPr>
            <w:r>
              <w:rPr>
                <w:lang w:val="en-US" w:eastAsia="zh-CN"/>
              </w:rPr>
              <w:t>每月一次，遇暴雨加测</w:t>
            </w:r>
          </w:p>
        </w:tc>
        <w:tc>
          <w:tcPr>
            <w:tcW w:w="4184" w:type="dxa"/>
            <w:noWrap w:val="0"/>
            <w:vAlign w:val="center"/>
          </w:tcPr>
          <w:p>
            <w:pPr>
              <w:pStyle w:val="17"/>
              <w:bidi w:val="0"/>
              <w:rPr>
                <w:lang w:val="en-US" w:eastAsia="zh-CN"/>
              </w:rPr>
            </w:pPr>
            <w:r>
              <w:rPr>
                <w:lang w:val="en-US" w:eastAsia="zh-CN"/>
              </w:rPr>
              <w:t>地面观测、实地量测和资料分析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5" w:type="dxa"/>
            <w:noWrap w:val="0"/>
            <w:vAlign w:val="center"/>
          </w:tcPr>
          <w:p>
            <w:pPr>
              <w:pStyle w:val="17"/>
              <w:bidi w:val="0"/>
              <w:rPr>
                <w:lang w:val="en-US" w:eastAsia="zh-CN"/>
              </w:rPr>
            </w:pPr>
            <w:r>
              <w:rPr>
                <w:lang w:val="en-US" w:eastAsia="zh-CN"/>
              </w:rPr>
              <w:t>取土、弃渣潜在土壤流失量</w:t>
            </w:r>
          </w:p>
        </w:tc>
        <w:tc>
          <w:tcPr>
            <w:tcW w:w="2551" w:type="dxa"/>
            <w:noWrap w:val="0"/>
            <w:vAlign w:val="center"/>
          </w:tcPr>
          <w:p>
            <w:pPr>
              <w:pStyle w:val="17"/>
              <w:bidi w:val="0"/>
              <w:rPr>
                <w:lang w:val="en-US" w:eastAsia="zh-CN"/>
              </w:rPr>
            </w:pPr>
            <w:r>
              <w:rPr>
                <w:lang w:val="en-US" w:eastAsia="zh-CN"/>
              </w:rPr>
              <w:t>每月一次</w:t>
            </w:r>
          </w:p>
        </w:tc>
        <w:tc>
          <w:tcPr>
            <w:tcW w:w="4184" w:type="dxa"/>
            <w:noWrap w:val="0"/>
            <w:vAlign w:val="center"/>
          </w:tcPr>
          <w:p>
            <w:pPr>
              <w:pStyle w:val="17"/>
              <w:bidi w:val="0"/>
              <w:rPr>
                <w:lang w:val="en-US" w:eastAsia="zh-CN"/>
              </w:rPr>
            </w:pPr>
            <w:r>
              <w:rPr>
                <w:lang w:val="en-US" w:eastAsia="zh-CN"/>
              </w:rPr>
              <w:t>地面观测、实地量测和资料分析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235" w:type="dxa"/>
            <w:noWrap w:val="0"/>
            <w:vAlign w:val="center"/>
          </w:tcPr>
          <w:p>
            <w:pPr>
              <w:pStyle w:val="17"/>
              <w:bidi w:val="0"/>
              <w:rPr>
                <w:lang w:val="en-US" w:eastAsia="zh-CN"/>
              </w:rPr>
            </w:pPr>
            <w:r>
              <w:rPr>
                <w:lang w:val="en-US" w:eastAsia="zh-CN"/>
              </w:rPr>
              <w:t>水土流失危害</w:t>
            </w:r>
          </w:p>
        </w:tc>
        <w:tc>
          <w:tcPr>
            <w:tcW w:w="2551" w:type="dxa"/>
            <w:noWrap w:val="0"/>
            <w:vAlign w:val="center"/>
          </w:tcPr>
          <w:p>
            <w:pPr>
              <w:pStyle w:val="17"/>
              <w:bidi w:val="0"/>
              <w:rPr>
                <w:lang w:val="en-US" w:eastAsia="zh-CN"/>
              </w:rPr>
            </w:pPr>
            <w:r>
              <w:rPr>
                <w:lang w:val="en-US" w:eastAsia="zh-CN"/>
              </w:rPr>
              <w:t>每月一次</w:t>
            </w:r>
          </w:p>
        </w:tc>
        <w:tc>
          <w:tcPr>
            <w:tcW w:w="4184" w:type="dxa"/>
            <w:noWrap w:val="0"/>
            <w:vAlign w:val="center"/>
          </w:tcPr>
          <w:p>
            <w:pPr>
              <w:pStyle w:val="17"/>
              <w:bidi w:val="0"/>
              <w:rPr>
                <w:lang w:val="en-US" w:eastAsia="zh-CN"/>
              </w:rPr>
            </w:pPr>
            <w:r>
              <w:rPr>
                <w:lang w:val="en-US" w:eastAsia="zh-CN"/>
              </w:rPr>
              <w:t>地面观测、实地量测和资料分析</w:t>
            </w:r>
          </w:p>
        </w:tc>
      </w:tr>
    </w:tbl>
    <w:p>
      <w:pPr>
        <w:sectPr>
          <w:headerReference r:id="rId1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bidi w:val="0"/>
        <w:ind w:firstLine="643"/>
        <w:rPr>
          <w:rFonts w:ascii="Times New Roman" w:hAnsi="Times New Roman"/>
        </w:rPr>
      </w:pPr>
      <w:bookmarkStart w:id="79" w:name="_Toc13123"/>
      <w:bookmarkStart w:id="80" w:name="_Toc247706042"/>
      <w:bookmarkStart w:id="81" w:name="_Toc44318482"/>
      <w:bookmarkStart w:id="82" w:name="_Toc216518508"/>
      <w:bookmarkStart w:id="83" w:name="_Toc216518801"/>
      <w:bookmarkStart w:id="84" w:name="_Toc298858009"/>
      <w:bookmarkStart w:id="85" w:name="_Toc20541"/>
      <w:r>
        <w:rPr>
          <w:rFonts w:ascii="Times New Roman" w:hAnsi="Times New Roman"/>
        </w:rPr>
        <w:t>3重点对象水土流失动态监测</w:t>
      </w:r>
      <w:bookmarkEnd w:id="79"/>
      <w:bookmarkEnd w:id="80"/>
      <w:bookmarkEnd w:id="81"/>
      <w:bookmarkEnd w:id="82"/>
      <w:bookmarkEnd w:id="83"/>
      <w:bookmarkEnd w:id="84"/>
      <w:bookmarkEnd w:id="85"/>
    </w:p>
    <w:p>
      <w:pPr>
        <w:pStyle w:val="4"/>
        <w:outlineLvl w:val="1"/>
      </w:pPr>
      <w:bookmarkStart w:id="86" w:name="_Toc247706043"/>
      <w:bookmarkStart w:id="87" w:name="_Toc216518509"/>
      <w:bookmarkStart w:id="88" w:name="_Toc44318483"/>
      <w:bookmarkStart w:id="89" w:name="_Toc13435"/>
      <w:bookmarkStart w:id="90" w:name="_Toc298858010"/>
      <w:bookmarkStart w:id="91" w:name="_Toc8602"/>
      <w:bookmarkStart w:id="92" w:name="_Toc216518802"/>
      <w:r>
        <w:t>3.1防治责任范围监测结果</w:t>
      </w:r>
      <w:bookmarkEnd w:id="86"/>
      <w:bookmarkEnd w:id="87"/>
      <w:bookmarkEnd w:id="88"/>
      <w:bookmarkEnd w:id="89"/>
      <w:bookmarkEnd w:id="90"/>
      <w:bookmarkEnd w:id="91"/>
      <w:bookmarkEnd w:id="92"/>
    </w:p>
    <w:p>
      <w:pPr>
        <w:pStyle w:val="5"/>
        <w:spacing w:line="360" w:lineRule="auto"/>
        <w:rPr>
          <w:rFonts w:eastAsia="仿宋_GB2312"/>
          <w:color w:val="000000"/>
          <w:sz w:val="24"/>
          <w:szCs w:val="24"/>
        </w:rPr>
      </w:pPr>
      <w:bookmarkStart w:id="93" w:name="_Toc265917092"/>
      <w:bookmarkStart w:id="94" w:name="_Toc266890729"/>
      <w:bookmarkStart w:id="95" w:name="_Toc266129955"/>
      <w:bookmarkStart w:id="96" w:name="_Toc266040715"/>
      <w:r>
        <w:rPr>
          <w:rFonts w:eastAsia="仿宋_GB2312"/>
          <w:color w:val="000000"/>
          <w:sz w:val="24"/>
          <w:szCs w:val="24"/>
        </w:rPr>
        <w:t>3.1.1水土保持防治责任范围</w:t>
      </w:r>
      <w:bookmarkEnd w:id="93"/>
      <w:bookmarkEnd w:id="94"/>
      <w:bookmarkEnd w:id="95"/>
      <w:bookmarkEnd w:id="96"/>
    </w:p>
    <w:p>
      <w:pPr>
        <w:numPr>
          <w:ilvl w:val="0"/>
          <w:numId w:val="2"/>
        </w:numPr>
        <w:bidi w:val="0"/>
      </w:pPr>
      <w:r>
        <w:t>方案确定的防治责任范围</w:t>
      </w:r>
    </w:p>
    <w:p>
      <w:pPr>
        <w:ind w:firstLine="480"/>
      </w:pPr>
      <w:r>
        <w:t>根据已批复的《</w:t>
      </w:r>
      <w:r>
        <w:rPr>
          <w:rFonts w:hint="eastAsia"/>
          <w:lang w:val="en-US" w:eastAsia="zh-CN"/>
        </w:rPr>
        <w:t>东海岛15万m³/d 自来水厂工程水土保持方案报告书</w:t>
      </w:r>
      <w:r>
        <w:t>》（报批稿），</w:t>
      </w:r>
      <w:r>
        <w:rPr>
          <w:rFonts w:hint="eastAsia"/>
        </w:rPr>
        <w:t>本项目水土保持方案确定的水土流失防治责任范围为</w:t>
      </w:r>
      <w:r>
        <w:rPr>
          <w:rFonts w:hint="eastAsia"/>
          <w:lang w:val="en-US" w:eastAsia="zh-CN"/>
        </w:rPr>
        <w:t>10.40</w:t>
      </w:r>
      <w:r>
        <w:t>hm</w:t>
      </w:r>
      <w:r>
        <w:rPr>
          <w:vertAlign w:val="superscript"/>
        </w:rPr>
        <w:t>2</w:t>
      </w:r>
      <w:r>
        <w:t>，其中项目建设区面积</w:t>
      </w:r>
      <w:r>
        <w:rPr>
          <w:rFonts w:hint="eastAsia"/>
          <w:lang w:val="en-US" w:eastAsia="zh-CN"/>
        </w:rPr>
        <w:t>10.03</w:t>
      </w:r>
      <w:r>
        <w:t>hm</w:t>
      </w:r>
      <w:r>
        <w:rPr>
          <w:vertAlign w:val="superscript"/>
        </w:rPr>
        <w:t>2</w:t>
      </w:r>
      <w:r>
        <w:t>，直接影响区</w:t>
      </w:r>
      <w:r>
        <w:rPr>
          <w:rFonts w:hint="eastAsia"/>
          <w:lang w:val="en-US" w:eastAsia="zh-CN"/>
        </w:rPr>
        <w:t>0.37</w:t>
      </w:r>
      <w:r>
        <w:t>hm</w:t>
      </w:r>
      <w:r>
        <w:rPr>
          <w:vertAlign w:val="superscript"/>
        </w:rPr>
        <w:t>2</w:t>
      </w:r>
      <w:r>
        <w:t>。</w:t>
      </w:r>
    </w:p>
    <w:p>
      <w:pPr>
        <w:numPr>
          <w:ilvl w:val="0"/>
          <w:numId w:val="2"/>
        </w:numPr>
        <w:bidi w:val="0"/>
        <w:ind w:left="0" w:leftChars="0" w:firstLine="480" w:firstLineChars="200"/>
      </w:pPr>
      <w:r>
        <w:t>建设期实际防治责任范围监测</w:t>
      </w:r>
    </w:p>
    <w:p>
      <w:pPr>
        <w:ind w:firstLine="480"/>
      </w:pPr>
      <w:r>
        <w:t>本工程建设实际扰动原地貌、损坏土地和植被面积共计</w:t>
      </w:r>
      <w:r>
        <w:rPr>
          <w:rFonts w:hint="eastAsia"/>
          <w:lang w:val="en-US" w:eastAsia="zh-CN"/>
        </w:rPr>
        <w:t>10.40</w:t>
      </w:r>
      <w:r>
        <w:t>hm</w:t>
      </w:r>
      <w:r>
        <w:rPr>
          <w:vertAlign w:val="superscript"/>
        </w:rPr>
        <w:t>2</w:t>
      </w:r>
      <w:r>
        <w:t>，其中项目建设区面积</w:t>
      </w:r>
      <w:r>
        <w:rPr>
          <w:rFonts w:hint="eastAsia"/>
          <w:lang w:val="en-US" w:eastAsia="zh-CN"/>
        </w:rPr>
        <w:t>10.03</w:t>
      </w:r>
      <w:r>
        <w:t>hm</w:t>
      </w:r>
      <w:r>
        <w:rPr>
          <w:vertAlign w:val="superscript"/>
        </w:rPr>
        <w:t>2</w:t>
      </w:r>
      <w:r>
        <w:t>，直接影响区</w:t>
      </w:r>
      <w:r>
        <w:rPr>
          <w:rFonts w:hint="eastAsia"/>
          <w:lang w:val="en-US" w:eastAsia="zh-CN"/>
        </w:rPr>
        <w:t>1.52</w:t>
      </w:r>
      <w:r>
        <w:t>hm</w:t>
      </w:r>
      <w:r>
        <w:rPr>
          <w:vertAlign w:val="superscript"/>
        </w:rPr>
        <w:t>2</w:t>
      </w:r>
      <w:r>
        <w:t>。</w:t>
      </w:r>
    </w:p>
    <w:p>
      <w:pPr>
        <w:pStyle w:val="24"/>
      </w:pPr>
      <w:r>
        <w:t>3、防治责任范围变化情况</w:t>
      </w:r>
    </w:p>
    <w:p>
      <w:pPr>
        <w:bidi w:val="0"/>
        <w:rPr>
          <w:rFonts w:hint="eastAsia" w:eastAsia="仿宋_GB2312"/>
          <w:highlight w:val="none"/>
          <w:lang w:val="en-US" w:eastAsia="zh-CN"/>
        </w:rPr>
      </w:pPr>
      <w:r>
        <w:rPr>
          <w:highlight w:val="none"/>
        </w:rPr>
        <w:t>根据本工程有关设计、施工</w:t>
      </w:r>
      <w:r>
        <w:rPr>
          <w:rFonts w:hint="eastAsia"/>
          <w:highlight w:val="none"/>
        </w:rPr>
        <w:t>、</w:t>
      </w:r>
      <w:r>
        <w:rPr>
          <w:highlight w:val="none"/>
        </w:rPr>
        <w:t>竣工图</w:t>
      </w:r>
      <w:r>
        <w:rPr>
          <w:rFonts w:hint="eastAsia"/>
          <w:highlight w:val="none"/>
        </w:rPr>
        <w:t>及监测总结报告</w:t>
      </w:r>
      <w:r>
        <w:rPr>
          <w:highlight w:val="none"/>
        </w:rPr>
        <w:t>等资料，结合现场核实，本工程建设实际扰动原地貌、损坏土地和植被面积共计</w:t>
      </w:r>
      <w:r>
        <w:rPr>
          <w:rFonts w:hint="eastAsia"/>
          <w:highlight w:val="none"/>
          <w:lang w:val="en-US" w:eastAsia="zh-CN"/>
        </w:rPr>
        <w:t>10.40</w:t>
      </w:r>
      <w:r>
        <w:rPr>
          <w:highlight w:val="none"/>
        </w:rPr>
        <w:t>hm</w:t>
      </w:r>
      <w:r>
        <w:rPr>
          <w:highlight w:val="none"/>
          <w:vertAlign w:val="superscript"/>
        </w:rPr>
        <w:t>2</w:t>
      </w:r>
      <w:r>
        <w:rPr>
          <w:highlight w:val="none"/>
        </w:rPr>
        <w:t>，</w:t>
      </w:r>
      <w:r>
        <w:rPr>
          <w:rFonts w:hint="eastAsia"/>
          <w:highlight w:val="none"/>
        </w:rPr>
        <w:t>为工程建设期间实际占地面积</w:t>
      </w:r>
      <w:r>
        <w:rPr>
          <w:highlight w:val="none"/>
        </w:rPr>
        <w:t>。方案批复的防治责任范围和工程实际防治责任范围对比情况见</w:t>
      </w:r>
      <w:r>
        <w:rPr>
          <w:rFonts w:hint="eastAsia"/>
          <w:highlight w:val="none"/>
          <w:lang w:val="en-US" w:eastAsia="zh-CN"/>
        </w:rPr>
        <w:t>下表。</w:t>
      </w:r>
    </w:p>
    <w:p>
      <w:pPr>
        <w:pStyle w:val="7"/>
        <w:bidi w:val="0"/>
        <w:rPr>
          <w:rFonts w:hint="default"/>
          <w:lang w:val="en-US" w:eastAsia="zh-CN"/>
        </w:rPr>
      </w:pPr>
      <w:r>
        <w:rPr>
          <w:rFonts w:eastAsia="仿宋_GB2312"/>
          <w:sz w:val="24"/>
          <w:highlight w:val="none"/>
        </w:rPr>
        <w:t>表3.1</w:t>
      </w:r>
      <w:r>
        <w:rPr>
          <w:rFonts w:hint="eastAsia" w:eastAsia="仿宋_GB2312"/>
          <w:sz w:val="24"/>
          <w:highlight w:val="none"/>
        </w:rPr>
        <w:t>-</w:t>
      </w:r>
      <w:r>
        <w:rPr>
          <w:rFonts w:hint="eastAsia"/>
          <w:sz w:val="24"/>
          <w:highlight w:val="none"/>
          <w:lang w:val="en-US" w:eastAsia="zh-CN"/>
        </w:rPr>
        <w:t>1</w:t>
      </w:r>
      <w:r>
        <w:rPr>
          <w:rFonts w:eastAsia="仿宋_GB2312"/>
          <w:sz w:val="24"/>
          <w:highlight w:val="none"/>
        </w:rPr>
        <w:t>方案批复防治责任范围与工程实际防治责任范围对比表</w:t>
      </w:r>
      <w:r>
        <w:rPr>
          <w:rFonts w:hint="eastAsia"/>
          <w:sz w:val="24"/>
          <w:highlight w:val="none"/>
          <w:lang w:eastAsia="zh-CN"/>
        </w:rPr>
        <w:t>（</w:t>
      </w:r>
      <w:r>
        <w:t>单位：hm</w:t>
      </w:r>
      <w:r>
        <w:rPr>
          <w:vertAlign w:val="superscript"/>
        </w:rPr>
        <w:t>2</w:t>
      </w:r>
      <w:r>
        <w:rPr>
          <w:rFonts w:hint="eastAsia"/>
          <w:sz w:val="24"/>
          <w:highlight w:val="none"/>
          <w:lang w:eastAsia="zh-CN"/>
        </w:rPr>
        <w:t>）</w:t>
      </w:r>
    </w:p>
    <w:tbl>
      <w:tblPr>
        <w:tblStyle w:val="13"/>
        <w:tblW w:w="4997" w:type="pct"/>
        <w:tblInd w:w="0" w:type="dxa"/>
        <w:shd w:val="clear" w:color="auto" w:fill="auto"/>
        <w:tblLayout w:type="fixed"/>
        <w:tblCellMar>
          <w:top w:w="0" w:type="dxa"/>
          <w:left w:w="0" w:type="dxa"/>
          <w:bottom w:w="0" w:type="dxa"/>
          <w:right w:w="0" w:type="dxa"/>
        </w:tblCellMar>
      </w:tblPr>
      <w:tblGrid>
        <w:gridCol w:w="3002"/>
        <w:gridCol w:w="2123"/>
        <w:gridCol w:w="2040"/>
        <w:gridCol w:w="1161"/>
      </w:tblGrid>
      <w:tr>
        <w:tblPrEx>
          <w:shd w:val="clear" w:color="auto" w:fill="auto"/>
          <w:tblCellMar>
            <w:top w:w="0" w:type="dxa"/>
            <w:left w:w="0" w:type="dxa"/>
            <w:bottom w:w="0" w:type="dxa"/>
            <w:right w:w="0" w:type="dxa"/>
          </w:tblCellMar>
        </w:tblPrEx>
        <w:trPr>
          <w:trHeight w:val="564" w:hRule="atLeast"/>
        </w:trPr>
        <w:tc>
          <w:tcPr>
            <w:tcW w:w="180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Style w:val="17"/>
              <w:bidi w:val="0"/>
              <w:jc w:val="center"/>
              <w:rPr>
                <w:rFonts w:hint="eastAsia"/>
              </w:rPr>
            </w:pPr>
            <w:r>
              <w:rPr>
                <w:rFonts w:hint="eastAsia"/>
                <w:lang w:val="en-US" w:eastAsia="zh-CN"/>
              </w:rPr>
              <w:t>项目分区</w:t>
            </w:r>
          </w:p>
        </w:tc>
        <w:tc>
          <w:tcPr>
            <w:tcW w:w="1274" w:type="pc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pStyle w:val="17"/>
              <w:bidi w:val="0"/>
              <w:jc w:val="both"/>
              <w:rPr>
                <w:rFonts w:hint="eastAsia"/>
                <w:lang w:val="en-US" w:eastAsia="zh-CN"/>
              </w:rPr>
            </w:pPr>
            <w:r>
              <w:t>防治责任范围（方案）</w:t>
            </w:r>
          </w:p>
        </w:tc>
        <w:tc>
          <w:tcPr>
            <w:tcW w:w="122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Style w:val="17"/>
              <w:bidi w:val="0"/>
              <w:jc w:val="center"/>
              <w:rPr>
                <w:rFonts w:hint="eastAsia"/>
                <w:lang w:val="en-US" w:eastAsia="zh-CN"/>
              </w:rPr>
            </w:pPr>
            <w:r>
              <w:t>防治责任范围（</w:t>
            </w:r>
            <w:r>
              <w:rPr>
                <w:rFonts w:hint="eastAsia"/>
                <w:lang w:val="en-US" w:eastAsia="zh-CN"/>
              </w:rPr>
              <w:t>实际</w:t>
            </w:r>
            <w:r>
              <w:t>）</w:t>
            </w:r>
          </w:p>
        </w:tc>
        <w:tc>
          <w:tcPr>
            <w:tcW w:w="697"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Style w:val="17"/>
              <w:bidi w:val="0"/>
              <w:jc w:val="center"/>
              <w:rPr>
                <w:rFonts w:hint="eastAsia"/>
                <w:lang w:val="en-US" w:eastAsia="zh-CN"/>
              </w:rPr>
            </w:pPr>
            <w:r>
              <w:rPr>
                <w:rFonts w:hint="eastAsia"/>
                <w:lang w:val="en-US" w:eastAsia="zh-CN"/>
              </w:rPr>
              <w:t>增减变化</w:t>
            </w:r>
          </w:p>
        </w:tc>
      </w:tr>
      <w:tr>
        <w:tblPrEx>
          <w:shd w:val="clear" w:color="auto" w:fill="auto"/>
          <w:tblCellMar>
            <w:top w:w="0" w:type="dxa"/>
            <w:left w:w="0" w:type="dxa"/>
            <w:bottom w:w="0" w:type="dxa"/>
            <w:right w:w="0" w:type="dxa"/>
          </w:tblCellMar>
        </w:tblPrEx>
        <w:trPr>
          <w:trHeight w:val="350" w:hRule="atLeast"/>
        </w:trPr>
        <w:tc>
          <w:tcPr>
            <w:tcW w:w="30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color w:val="auto"/>
              </w:rPr>
            </w:pPr>
            <w:r>
              <w:rPr>
                <w:rFonts w:hint="default" w:ascii="Times New Roman" w:hAnsi="Times New Roman" w:eastAsia="仿宋" w:cs="Times New Roman"/>
                <w:kern w:val="0"/>
                <w:sz w:val="21"/>
                <w:szCs w:val="21"/>
              </w:rPr>
              <w:t>建筑物区</w:t>
            </w:r>
          </w:p>
        </w:tc>
        <w:tc>
          <w:tcPr>
            <w:tcW w:w="21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仿宋_GB2312" w:cstheme="minorBidi"/>
                <w:color w:val="auto"/>
                <w:sz w:val="21"/>
                <w:lang w:val="en-US" w:eastAsia="zh-CN"/>
              </w:rPr>
            </w:pPr>
            <w:r>
              <w:rPr>
                <w:rFonts w:hint="default" w:ascii="Times New Roman" w:hAnsi="Times New Roman" w:eastAsia="仿宋" w:cs="Times New Roman"/>
                <w:kern w:val="0"/>
                <w:sz w:val="21"/>
                <w:szCs w:val="21"/>
              </w:rPr>
              <w:t>1.96</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ascii="Times New Roman" w:hAnsi="Times New Roman" w:eastAsia="仿宋_GB2312" w:cstheme="minorBidi"/>
                <w:color w:val="auto"/>
                <w:sz w:val="21"/>
                <w:lang w:val="en-US" w:eastAsia="zh-CN"/>
              </w:rPr>
            </w:pPr>
            <w:r>
              <w:rPr>
                <w:rFonts w:hint="default" w:ascii="Times New Roman" w:hAnsi="Times New Roman" w:eastAsia="仿宋" w:cs="Times New Roman"/>
                <w:kern w:val="0"/>
                <w:sz w:val="21"/>
                <w:szCs w:val="21"/>
              </w:rPr>
              <w:t>1.96</w:t>
            </w:r>
          </w:p>
        </w:tc>
        <w:tc>
          <w:tcPr>
            <w:tcW w:w="697"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lang w:val="en-US" w:eastAsia="zh-CN"/>
              </w:rPr>
            </w:pPr>
            <w:r>
              <w:rPr>
                <w:rFonts w:hint="eastAsia" w:cstheme="minorBidi"/>
                <w:color w:val="auto"/>
                <w:sz w:val="21"/>
                <w:lang w:val="en-US" w:eastAsia="zh-CN"/>
              </w:rPr>
              <w:t>/</w:t>
            </w:r>
          </w:p>
        </w:tc>
      </w:tr>
      <w:tr>
        <w:tblPrEx>
          <w:shd w:val="clear" w:color="auto" w:fill="auto"/>
          <w:tblCellMar>
            <w:top w:w="0" w:type="dxa"/>
            <w:left w:w="0" w:type="dxa"/>
            <w:bottom w:w="0" w:type="dxa"/>
            <w:right w:w="0" w:type="dxa"/>
          </w:tblCellMar>
        </w:tblPrEx>
        <w:trPr>
          <w:trHeight w:val="328" w:hRule="atLeast"/>
        </w:trPr>
        <w:tc>
          <w:tcPr>
            <w:tcW w:w="30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color w:val="auto"/>
              </w:rPr>
            </w:pPr>
            <w:r>
              <w:rPr>
                <w:rFonts w:hint="default" w:ascii="Times New Roman" w:hAnsi="Times New Roman" w:eastAsia="仿宋" w:cs="Times New Roman"/>
                <w:kern w:val="0"/>
                <w:sz w:val="21"/>
                <w:szCs w:val="21"/>
              </w:rPr>
              <w:t>道路及管线区</w:t>
            </w:r>
          </w:p>
        </w:tc>
        <w:tc>
          <w:tcPr>
            <w:tcW w:w="21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仿宋_GB2312" w:cstheme="minorBidi"/>
                <w:color w:val="auto"/>
                <w:sz w:val="21"/>
                <w:lang w:val="en-US" w:eastAsia="zh-CN"/>
              </w:rPr>
            </w:pPr>
            <w:r>
              <w:rPr>
                <w:rFonts w:hint="default" w:ascii="Times New Roman" w:hAnsi="Times New Roman" w:eastAsia="仿宋" w:cs="Times New Roman"/>
                <w:kern w:val="0"/>
                <w:sz w:val="21"/>
                <w:szCs w:val="21"/>
              </w:rPr>
              <w:t>2.31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ascii="Times New Roman" w:hAnsi="Times New Roman" w:eastAsia="仿宋_GB2312" w:cstheme="minorBidi"/>
                <w:color w:val="auto"/>
                <w:sz w:val="21"/>
                <w:lang w:val="en-US" w:eastAsia="zh-CN"/>
              </w:rPr>
            </w:pPr>
            <w:r>
              <w:rPr>
                <w:rFonts w:hint="default" w:ascii="Times New Roman" w:hAnsi="Times New Roman" w:eastAsia="仿宋" w:cs="Times New Roman"/>
                <w:kern w:val="0"/>
                <w:sz w:val="21"/>
                <w:szCs w:val="21"/>
              </w:rPr>
              <w:t>2.31</w:t>
            </w:r>
          </w:p>
        </w:tc>
        <w:tc>
          <w:tcPr>
            <w:tcW w:w="697"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lang w:val="en-US" w:eastAsia="zh-CN"/>
              </w:rPr>
            </w:pPr>
            <w:r>
              <w:rPr>
                <w:rFonts w:hint="eastAsia" w:cstheme="minorBidi"/>
                <w:color w:val="auto"/>
                <w:sz w:val="21"/>
                <w:lang w:val="en-US" w:eastAsia="zh-CN"/>
              </w:rPr>
              <w:t>/</w:t>
            </w:r>
          </w:p>
        </w:tc>
      </w:tr>
      <w:tr>
        <w:tblPrEx>
          <w:shd w:val="clear" w:color="auto" w:fill="auto"/>
          <w:tblCellMar>
            <w:top w:w="0" w:type="dxa"/>
            <w:left w:w="0" w:type="dxa"/>
            <w:bottom w:w="0" w:type="dxa"/>
            <w:right w:w="0" w:type="dxa"/>
          </w:tblCellMar>
        </w:tblPrEx>
        <w:trPr>
          <w:trHeight w:val="288" w:hRule="atLeast"/>
        </w:trPr>
        <w:tc>
          <w:tcPr>
            <w:tcW w:w="30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color w:val="auto"/>
              </w:rPr>
            </w:pPr>
            <w:r>
              <w:rPr>
                <w:rFonts w:hint="default" w:ascii="Times New Roman" w:hAnsi="Times New Roman" w:eastAsia="仿宋" w:cs="Times New Roman"/>
                <w:kern w:val="0"/>
                <w:sz w:val="21"/>
                <w:szCs w:val="21"/>
              </w:rPr>
              <w:t>绿化区</w:t>
            </w:r>
          </w:p>
        </w:tc>
        <w:tc>
          <w:tcPr>
            <w:tcW w:w="21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仿宋_GB2312" w:cstheme="minorBidi"/>
                <w:color w:val="auto"/>
                <w:sz w:val="21"/>
                <w:lang w:val="en-US" w:eastAsia="zh-CN"/>
              </w:rPr>
            </w:pPr>
            <w:r>
              <w:rPr>
                <w:rFonts w:hint="default" w:ascii="Times New Roman" w:hAnsi="Times New Roman" w:eastAsia="仿宋" w:cs="Times New Roman"/>
                <w:kern w:val="0"/>
                <w:sz w:val="21"/>
                <w:szCs w:val="21"/>
              </w:rPr>
              <w:t>3.22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ascii="Times New Roman" w:hAnsi="Times New Roman" w:eastAsia="仿宋_GB2312" w:cstheme="minorBidi"/>
                <w:color w:val="auto"/>
                <w:sz w:val="21"/>
                <w:lang w:val="en-US" w:eastAsia="zh-CN"/>
              </w:rPr>
            </w:pPr>
            <w:r>
              <w:rPr>
                <w:rFonts w:hint="default" w:ascii="Times New Roman" w:hAnsi="Times New Roman" w:eastAsia="仿宋" w:cs="Times New Roman"/>
                <w:kern w:val="0"/>
                <w:sz w:val="21"/>
                <w:szCs w:val="21"/>
              </w:rPr>
              <w:t>3.22</w:t>
            </w:r>
          </w:p>
        </w:tc>
        <w:tc>
          <w:tcPr>
            <w:tcW w:w="697"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lang w:val="en-US" w:eastAsia="zh-CN"/>
              </w:rPr>
            </w:pPr>
            <w:r>
              <w:rPr>
                <w:rFonts w:hint="eastAsia" w:cstheme="minorBidi"/>
                <w:color w:val="auto"/>
                <w:sz w:val="21"/>
                <w:lang w:val="en-US" w:eastAsia="zh-CN"/>
              </w:rPr>
              <w:t>/</w:t>
            </w:r>
          </w:p>
        </w:tc>
      </w:tr>
      <w:tr>
        <w:tblPrEx>
          <w:tblCellMar>
            <w:top w:w="0" w:type="dxa"/>
            <w:left w:w="0" w:type="dxa"/>
            <w:bottom w:w="0" w:type="dxa"/>
            <w:right w:w="0" w:type="dxa"/>
          </w:tblCellMar>
        </w:tblPrEx>
        <w:trPr>
          <w:trHeight w:val="288" w:hRule="atLeast"/>
        </w:trPr>
        <w:tc>
          <w:tcPr>
            <w:tcW w:w="300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color w:val="auto"/>
              </w:rPr>
            </w:pPr>
            <w:r>
              <w:rPr>
                <w:rFonts w:hint="default" w:ascii="Times New Roman" w:hAnsi="Times New Roman" w:eastAsia="仿宋" w:cs="Times New Roman"/>
                <w:kern w:val="0"/>
                <w:sz w:val="21"/>
                <w:szCs w:val="21"/>
              </w:rPr>
              <w:t>预留用地区</w:t>
            </w:r>
          </w:p>
        </w:tc>
        <w:tc>
          <w:tcPr>
            <w:tcW w:w="21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color w:val="auto"/>
                <w:lang w:val="en-US" w:eastAsia="zh-CN"/>
              </w:rPr>
            </w:pPr>
            <w:r>
              <w:rPr>
                <w:rFonts w:hint="default" w:ascii="Times New Roman" w:hAnsi="Times New Roman" w:eastAsia="仿宋" w:cs="Times New Roman"/>
                <w:kern w:val="0"/>
                <w:sz w:val="21"/>
                <w:szCs w:val="21"/>
              </w:rPr>
              <w:t>2.54</w:t>
            </w:r>
          </w:p>
        </w:tc>
        <w:tc>
          <w:tcPr>
            <w:tcW w:w="204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ascii="Times New Roman" w:hAnsi="Times New Roman" w:eastAsia="仿宋_GB2312" w:cstheme="minorBidi"/>
                <w:color w:val="auto"/>
                <w:sz w:val="21"/>
                <w:lang w:val="en-US" w:eastAsia="zh-CN"/>
              </w:rPr>
            </w:pPr>
            <w:r>
              <w:rPr>
                <w:rFonts w:hint="default" w:ascii="Times New Roman" w:hAnsi="Times New Roman" w:eastAsia="仿宋" w:cs="Times New Roman"/>
                <w:kern w:val="0"/>
                <w:sz w:val="21"/>
                <w:szCs w:val="21"/>
              </w:rPr>
              <w:t>2.54</w:t>
            </w:r>
          </w:p>
        </w:tc>
        <w:tc>
          <w:tcPr>
            <w:tcW w:w="697"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heme="minorBidi"/>
                <w:color w:val="auto"/>
                <w:sz w:val="21"/>
                <w:lang w:val="en-US" w:eastAsia="zh-CN"/>
              </w:rPr>
            </w:pPr>
            <w:r>
              <w:rPr>
                <w:rFonts w:hint="eastAsia" w:cstheme="minorBidi"/>
                <w:color w:val="auto"/>
                <w:sz w:val="21"/>
                <w:lang w:val="en-US" w:eastAsia="zh-CN"/>
              </w:rPr>
              <w:t>/</w:t>
            </w:r>
          </w:p>
        </w:tc>
      </w:tr>
      <w:tr>
        <w:tblPrEx>
          <w:shd w:val="clear" w:color="auto" w:fill="auto"/>
          <w:tblCellMar>
            <w:top w:w="0" w:type="dxa"/>
            <w:left w:w="0" w:type="dxa"/>
            <w:bottom w:w="0" w:type="dxa"/>
            <w:right w:w="0" w:type="dxa"/>
          </w:tblCellMar>
        </w:tblPrEx>
        <w:trPr>
          <w:trHeight w:val="288" w:hRule="atLeast"/>
        </w:trPr>
        <w:tc>
          <w:tcPr>
            <w:tcW w:w="300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default"/>
                <w:color w:val="auto"/>
                <w:lang w:val="en-US" w:eastAsia="zh-CN"/>
              </w:rPr>
            </w:pPr>
            <w:r>
              <w:rPr>
                <w:rFonts w:hint="default" w:ascii="Times New Roman" w:hAnsi="Times New Roman" w:eastAsia="仿宋" w:cs="Times New Roman"/>
                <w:kern w:val="0"/>
                <w:sz w:val="21"/>
                <w:szCs w:val="21"/>
              </w:rPr>
              <w:t>临时堆土区</w:t>
            </w:r>
          </w:p>
        </w:tc>
        <w:tc>
          <w:tcPr>
            <w:tcW w:w="21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color w:val="auto"/>
                <w:lang w:val="en-US" w:eastAsia="zh-CN"/>
              </w:rPr>
            </w:pPr>
            <w:r>
              <w:rPr>
                <w:rFonts w:hint="default" w:ascii="Times New Roman" w:hAnsi="Times New Roman" w:eastAsia="仿宋" w:cs="Times New Roman"/>
                <w:kern w:val="0"/>
                <w:sz w:val="21"/>
                <w:szCs w:val="21"/>
              </w:rPr>
              <w:t>（0.64）</w:t>
            </w:r>
          </w:p>
        </w:tc>
        <w:tc>
          <w:tcPr>
            <w:tcW w:w="204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color w:val="auto"/>
                <w:lang w:val="en-US" w:eastAsia="zh-CN"/>
              </w:rPr>
            </w:pPr>
            <w:r>
              <w:rPr>
                <w:rFonts w:hint="default" w:ascii="Times New Roman" w:hAnsi="Times New Roman" w:eastAsia="仿宋" w:cs="Times New Roman"/>
                <w:kern w:val="0"/>
                <w:sz w:val="21"/>
                <w:szCs w:val="21"/>
              </w:rPr>
              <w:t>（0.64）</w:t>
            </w:r>
          </w:p>
        </w:tc>
        <w:tc>
          <w:tcPr>
            <w:tcW w:w="697"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heme="minorBidi"/>
                <w:color w:val="auto"/>
                <w:sz w:val="21"/>
                <w:lang w:val="en-US" w:eastAsia="zh-CN"/>
              </w:rPr>
            </w:pPr>
            <w:r>
              <w:rPr>
                <w:rFonts w:hint="eastAsia" w:cstheme="minorBidi"/>
                <w:color w:val="auto"/>
                <w:sz w:val="21"/>
                <w:lang w:val="en-US" w:eastAsia="zh-CN"/>
              </w:rPr>
              <w:t>/</w:t>
            </w:r>
          </w:p>
        </w:tc>
      </w:tr>
      <w:tr>
        <w:tblPrEx>
          <w:shd w:val="clear" w:color="auto" w:fill="auto"/>
          <w:tblCellMar>
            <w:top w:w="0" w:type="dxa"/>
            <w:left w:w="0" w:type="dxa"/>
            <w:bottom w:w="0" w:type="dxa"/>
            <w:right w:w="0" w:type="dxa"/>
          </w:tblCellMar>
        </w:tblPrEx>
        <w:trPr>
          <w:trHeight w:val="288" w:hRule="atLeast"/>
        </w:trPr>
        <w:tc>
          <w:tcPr>
            <w:tcW w:w="300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eastAsia"/>
                <w:color w:val="auto"/>
              </w:rPr>
            </w:pPr>
            <w:r>
              <w:rPr>
                <w:rFonts w:hint="default" w:ascii="Times New Roman" w:hAnsi="Times New Roman" w:eastAsia="仿宋" w:cs="Times New Roman"/>
                <w:kern w:val="0"/>
                <w:sz w:val="21"/>
                <w:szCs w:val="21"/>
              </w:rPr>
              <w:t>施工营造区</w:t>
            </w:r>
          </w:p>
        </w:tc>
        <w:tc>
          <w:tcPr>
            <w:tcW w:w="21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default"/>
                <w:color w:val="auto"/>
                <w:lang w:val="en-US" w:eastAsia="zh-CN"/>
              </w:rPr>
            </w:pPr>
            <w:r>
              <w:rPr>
                <w:rFonts w:hint="default" w:ascii="Times New Roman" w:hAnsi="Times New Roman" w:eastAsia="仿宋" w:cs="Times New Roman"/>
                <w:kern w:val="0"/>
                <w:sz w:val="21"/>
                <w:szCs w:val="21"/>
              </w:rPr>
              <w:t>（0.2）</w:t>
            </w:r>
          </w:p>
        </w:tc>
        <w:tc>
          <w:tcPr>
            <w:tcW w:w="204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仿宋_GB2312" w:cstheme="minorBidi"/>
                <w:color w:val="auto"/>
                <w:sz w:val="21"/>
                <w:lang w:val="en-US" w:eastAsia="zh-CN"/>
              </w:rPr>
            </w:pPr>
            <w:r>
              <w:rPr>
                <w:rFonts w:hint="default" w:ascii="Times New Roman" w:hAnsi="Times New Roman" w:eastAsia="仿宋" w:cs="Times New Roman"/>
                <w:kern w:val="0"/>
                <w:sz w:val="21"/>
                <w:szCs w:val="21"/>
              </w:rPr>
              <w:t>（0.2）</w:t>
            </w:r>
          </w:p>
        </w:tc>
        <w:tc>
          <w:tcPr>
            <w:tcW w:w="697"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heme="minorBidi"/>
                <w:color w:val="auto"/>
                <w:sz w:val="21"/>
                <w:lang w:val="en-US" w:eastAsia="zh-CN"/>
              </w:rPr>
            </w:pPr>
            <w:r>
              <w:rPr>
                <w:rFonts w:hint="eastAsia" w:cstheme="minorBidi"/>
                <w:color w:val="auto"/>
                <w:sz w:val="21"/>
                <w:lang w:val="en-US" w:eastAsia="zh-CN"/>
              </w:rPr>
              <w:t>/</w:t>
            </w:r>
          </w:p>
        </w:tc>
      </w:tr>
      <w:tr>
        <w:tblPrEx>
          <w:shd w:val="clear" w:color="auto" w:fill="auto"/>
          <w:tblCellMar>
            <w:top w:w="0" w:type="dxa"/>
            <w:left w:w="0" w:type="dxa"/>
            <w:bottom w:w="0" w:type="dxa"/>
            <w:right w:w="0" w:type="dxa"/>
          </w:tblCellMar>
        </w:tblPrEx>
        <w:trPr>
          <w:trHeight w:val="288" w:hRule="atLeast"/>
        </w:trPr>
        <w:tc>
          <w:tcPr>
            <w:tcW w:w="1802"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17"/>
              <w:bidi w:val="0"/>
              <w:jc w:val="center"/>
              <w:rPr>
                <w:rFonts w:hint="eastAsia"/>
                <w:color w:val="auto"/>
                <w:lang w:val="en-US" w:eastAsia="zh-CN"/>
              </w:rPr>
            </w:pPr>
            <w:r>
              <w:rPr>
                <w:color w:val="auto"/>
              </w:rPr>
              <w:t>直接影响区</w:t>
            </w:r>
          </w:p>
        </w:tc>
        <w:tc>
          <w:tcPr>
            <w:tcW w:w="1274"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17"/>
              <w:bidi w:val="0"/>
              <w:jc w:val="center"/>
              <w:rPr>
                <w:rFonts w:hint="default"/>
                <w:color w:val="auto"/>
                <w:lang w:val="en-US" w:eastAsia="zh-CN"/>
              </w:rPr>
            </w:pPr>
            <w:r>
              <w:rPr>
                <w:rFonts w:hint="eastAsia"/>
                <w:color w:val="auto"/>
                <w:lang w:val="en-US" w:eastAsia="zh-CN"/>
              </w:rPr>
              <w:t>0.37</w:t>
            </w:r>
          </w:p>
        </w:tc>
        <w:tc>
          <w:tcPr>
            <w:tcW w:w="204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17"/>
              <w:bidi w:val="0"/>
              <w:ind w:firstLine="0" w:firstLineChars="0"/>
              <w:jc w:val="center"/>
              <w:rPr>
                <w:rFonts w:hint="default" w:cstheme="minorBidi"/>
                <w:color w:val="auto"/>
                <w:sz w:val="21"/>
                <w:lang w:val="en-US" w:eastAsia="zh-CN"/>
              </w:rPr>
            </w:pPr>
            <w:r>
              <w:rPr>
                <w:rFonts w:hint="eastAsia"/>
                <w:color w:val="auto"/>
                <w:lang w:val="en-US" w:eastAsia="zh-CN"/>
              </w:rPr>
              <w:t>1.52</w:t>
            </w:r>
          </w:p>
        </w:tc>
        <w:tc>
          <w:tcPr>
            <w:tcW w:w="697"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17"/>
              <w:bidi w:val="0"/>
              <w:ind w:firstLine="0" w:firstLineChars="0"/>
              <w:rPr>
                <w:rFonts w:hint="default" w:cstheme="minorBidi"/>
                <w:color w:val="auto"/>
                <w:sz w:val="21"/>
                <w:lang w:val="en-US" w:eastAsia="zh-CN"/>
              </w:rPr>
            </w:pPr>
            <w:r>
              <w:rPr>
                <w:rFonts w:hint="eastAsia" w:cstheme="minorBidi"/>
                <w:color w:val="auto"/>
                <w:sz w:val="21"/>
                <w:lang w:val="en-US" w:eastAsia="zh-CN"/>
              </w:rPr>
              <w:t>+1.15</w:t>
            </w:r>
          </w:p>
        </w:tc>
      </w:tr>
      <w:tr>
        <w:tblPrEx>
          <w:shd w:val="clear" w:color="auto" w:fill="auto"/>
          <w:tblCellMar>
            <w:top w:w="0" w:type="dxa"/>
            <w:left w:w="0" w:type="dxa"/>
            <w:bottom w:w="0" w:type="dxa"/>
            <w:right w:w="0" w:type="dxa"/>
          </w:tblCellMar>
        </w:tblPrEx>
        <w:trPr>
          <w:trHeight w:val="288" w:hRule="atLeast"/>
        </w:trPr>
        <w:tc>
          <w:tcPr>
            <w:tcW w:w="180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Style w:val="17"/>
              <w:bidi w:val="0"/>
              <w:jc w:val="center"/>
              <w:rPr>
                <w:rFonts w:hint="eastAsia"/>
                <w:color w:val="auto"/>
              </w:rPr>
            </w:pPr>
            <w:r>
              <w:rPr>
                <w:rFonts w:hint="eastAsia"/>
                <w:color w:val="auto"/>
                <w:lang w:val="en-US" w:eastAsia="zh-CN"/>
              </w:rPr>
              <w:t>合计</w:t>
            </w:r>
          </w:p>
        </w:tc>
        <w:tc>
          <w:tcPr>
            <w:tcW w:w="127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Style w:val="17"/>
              <w:bidi w:val="0"/>
              <w:jc w:val="center"/>
              <w:rPr>
                <w:rFonts w:hint="default"/>
                <w:color w:val="auto"/>
                <w:lang w:val="en-US" w:eastAsia="zh-CN"/>
              </w:rPr>
            </w:pPr>
            <w:r>
              <w:rPr>
                <w:rFonts w:hint="eastAsia"/>
                <w:color w:val="auto"/>
                <w:lang w:val="en-US" w:eastAsia="zh-CN"/>
              </w:rPr>
              <w:t>10.40</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Style w:val="17"/>
              <w:bidi w:val="0"/>
              <w:ind w:firstLine="0" w:firstLineChars="0"/>
              <w:jc w:val="center"/>
              <w:rPr>
                <w:rFonts w:hint="default" w:ascii="Times New Roman" w:hAnsi="Times New Roman" w:eastAsia="仿宋_GB2312" w:cstheme="minorBidi"/>
                <w:color w:val="auto"/>
                <w:sz w:val="21"/>
                <w:lang w:val="en-US" w:eastAsia="zh-CN"/>
              </w:rPr>
            </w:pPr>
            <w:r>
              <w:rPr>
                <w:rFonts w:hint="eastAsia"/>
                <w:color w:val="auto"/>
                <w:lang w:val="en-US" w:eastAsia="zh-CN"/>
              </w:rPr>
              <w:t>11.55</w:t>
            </w:r>
          </w:p>
        </w:tc>
        <w:tc>
          <w:tcPr>
            <w:tcW w:w="697"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Style w:val="17"/>
              <w:bidi w:val="0"/>
              <w:ind w:firstLine="0" w:firstLineChars="0"/>
              <w:rPr>
                <w:rFonts w:hint="default" w:ascii="Times New Roman" w:hAnsi="Times New Roman" w:eastAsia="仿宋_GB2312" w:cstheme="minorBidi"/>
                <w:color w:val="auto"/>
                <w:sz w:val="21"/>
                <w:lang w:val="en-US" w:eastAsia="zh-CN"/>
              </w:rPr>
            </w:pPr>
            <w:r>
              <w:rPr>
                <w:rFonts w:hint="eastAsia" w:cstheme="minorBidi"/>
                <w:color w:val="auto"/>
                <w:sz w:val="21"/>
                <w:lang w:val="en-US" w:eastAsia="zh-CN"/>
              </w:rPr>
              <w:t>1.15</w:t>
            </w:r>
          </w:p>
        </w:tc>
      </w:tr>
    </w:tbl>
    <w:p>
      <w:pPr>
        <w:pStyle w:val="5"/>
        <w:spacing w:line="360" w:lineRule="auto"/>
        <w:rPr>
          <w:rFonts w:eastAsia="仿宋_GB2312"/>
          <w:sz w:val="24"/>
          <w:szCs w:val="24"/>
        </w:rPr>
      </w:pPr>
      <w:r>
        <w:rPr>
          <w:rFonts w:eastAsia="仿宋_GB2312"/>
          <w:sz w:val="24"/>
          <w:szCs w:val="24"/>
        </w:rPr>
        <w:t>3.1.2 建设期扰动土地面积</w:t>
      </w:r>
    </w:p>
    <w:p>
      <w:r>
        <w:t>根据本项目有关施工、监理和竣工资料及图纸，结合现场核实，本项目水土保持监测进场时，建设区面积为</w:t>
      </w:r>
      <w:r>
        <w:rPr>
          <w:rFonts w:hint="eastAsia"/>
          <w:lang w:val="en-US" w:eastAsia="zh-CN"/>
        </w:rPr>
        <w:t>10.03</w:t>
      </w:r>
      <w:r>
        <w:t>hm</w:t>
      </w:r>
      <w:r>
        <w:rPr>
          <w:vertAlign w:val="superscript"/>
        </w:rPr>
        <w:t>2</w:t>
      </w:r>
      <w:r>
        <w:rPr>
          <w:rFonts w:hint="eastAsia"/>
          <w:vertAlign w:val="baseline"/>
          <w:lang w:eastAsia="zh-CN"/>
        </w:rPr>
        <w:t>，</w:t>
      </w:r>
      <w:r>
        <w:rPr>
          <w:rFonts w:hint="eastAsia"/>
          <w:vertAlign w:val="baseline"/>
          <w:lang w:val="en-US" w:eastAsia="zh-CN"/>
        </w:rPr>
        <w:t>直接影响区面积</w:t>
      </w:r>
      <w:r>
        <w:rPr>
          <w:rFonts w:hint="eastAsia"/>
          <w:lang w:val="en-US" w:eastAsia="zh-CN"/>
        </w:rPr>
        <w:t>10.03</w:t>
      </w:r>
      <w:r>
        <w:t>hm</w:t>
      </w:r>
      <w:r>
        <w:rPr>
          <w:vertAlign w:val="superscript"/>
        </w:rPr>
        <w:t>2</w:t>
      </w:r>
      <w:r>
        <w:t>。</w:t>
      </w:r>
      <w:bookmarkStart w:id="97" w:name="_Toc23854"/>
      <w:bookmarkStart w:id="98" w:name="_Toc44318484"/>
    </w:p>
    <w:p>
      <w:pPr>
        <w:pStyle w:val="4"/>
        <w:bidi w:val="0"/>
      </w:pPr>
      <w:bookmarkStart w:id="99" w:name="_Toc1121"/>
      <w:r>
        <w:t>3.2取土监测结果</w:t>
      </w:r>
      <w:bookmarkEnd w:id="97"/>
      <w:bookmarkEnd w:id="98"/>
      <w:bookmarkEnd w:id="99"/>
    </w:p>
    <w:p>
      <w:pPr>
        <w:rPr>
          <w:rFonts w:hint="default" w:eastAsia="仿宋_GB2312"/>
          <w:lang w:val="en-US" w:eastAsia="zh-CN"/>
        </w:rPr>
      </w:pPr>
      <w:r>
        <w:rPr>
          <w:rFonts w:hint="eastAsia"/>
          <w:lang w:val="en-US" w:eastAsia="zh-CN"/>
        </w:rPr>
        <w:t>本项目未设置取土场，实际施工过程中回填</w:t>
      </w:r>
      <w:r>
        <w:rPr>
          <w:rFonts w:hint="eastAsia" w:ascii="Times New Roman" w:hAnsi="Times New Roman" w:eastAsia="仿宋_GB2312"/>
          <w:sz w:val="24"/>
          <w:szCs w:val="24"/>
        </w:rPr>
        <w:t>回填土方全部通过场内周转利用</w:t>
      </w:r>
      <w:r>
        <w:rPr>
          <w:rFonts w:hint="eastAsia"/>
          <w:lang w:val="en-US" w:eastAsia="zh-CN"/>
        </w:rPr>
        <w:t>，为发生外借土方情况。</w:t>
      </w:r>
    </w:p>
    <w:p>
      <w:pPr>
        <w:pStyle w:val="4"/>
        <w:outlineLvl w:val="1"/>
      </w:pPr>
      <w:bookmarkStart w:id="100" w:name="_Toc22105"/>
      <w:bookmarkStart w:id="101" w:name="_Toc15651"/>
      <w:bookmarkStart w:id="102" w:name="_Toc44318485"/>
      <w:r>
        <w:t>3.3弃土监测结果</w:t>
      </w:r>
      <w:bookmarkEnd w:id="100"/>
      <w:bookmarkEnd w:id="101"/>
      <w:bookmarkEnd w:id="102"/>
    </w:p>
    <w:p>
      <w:pPr>
        <w:rPr>
          <w:rFonts w:hint="eastAsia"/>
          <w:lang w:val="en-US" w:eastAsia="zh-CN"/>
        </w:rPr>
      </w:pPr>
      <w:r>
        <w:rPr>
          <w:rFonts w:hint="eastAsia"/>
          <w:lang w:val="en-US" w:eastAsia="zh-CN"/>
        </w:rPr>
        <w:t>本项目未设置弃渣场，实际施工过程中也无弃方产生。</w:t>
      </w:r>
    </w:p>
    <w:p>
      <w:pPr>
        <w:pStyle w:val="4"/>
        <w:outlineLvl w:val="1"/>
        <w:rPr>
          <w:color w:val="auto"/>
        </w:rPr>
      </w:pPr>
      <w:bookmarkStart w:id="103" w:name="_Toc44318486"/>
      <w:bookmarkStart w:id="104" w:name="_Toc32392"/>
      <w:bookmarkStart w:id="105" w:name="_Toc15385"/>
      <w:r>
        <w:rPr>
          <w:color w:val="auto"/>
        </w:rPr>
        <w:t>3.4工程土石方变化情况</w:t>
      </w:r>
      <w:bookmarkEnd w:id="103"/>
      <w:bookmarkEnd w:id="104"/>
      <w:bookmarkEnd w:id="105"/>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both"/>
        <w:textAlignment w:val="auto"/>
        <w:rPr>
          <w:rFonts w:hint="default" w:ascii="TimesNewRomanPSMT" w:hAnsi="TimesNewRomanPSMT" w:eastAsia="仿宋_GB2312"/>
          <w:color w:val="000000"/>
          <w:sz w:val="24"/>
          <w:szCs w:val="24"/>
          <w:highlight w:val="none"/>
          <w:vertAlign w:val="baseline"/>
          <w:lang w:val="en-US" w:eastAsia="zh-CN"/>
        </w:rPr>
      </w:pPr>
      <w:r>
        <w:rPr>
          <w:rFonts w:hint="eastAsia" w:ascii="仿宋_GB2312"/>
          <w:color w:val="000000"/>
          <w:sz w:val="24"/>
          <w:szCs w:val="24"/>
          <w:lang w:val="en-US" w:eastAsia="zh-CN"/>
        </w:rPr>
        <w:t xml:space="preserve">  </w:t>
      </w:r>
      <w:r>
        <w:rPr>
          <w:rFonts w:ascii="仿宋_GB2312"/>
          <w:color w:val="000000"/>
          <w:sz w:val="24"/>
          <w:szCs w:val="24"/>
        </w:rPr>
        <w:t>根据工程监理资料及施工方提供资料进行统计，结合现场勘查了解，本</w:t>
      </w:r>
      <w:r>
        <w:rPr>
          <w:snapToGrid w:val="0"/>
          <w:kern w:val="0"/>
          <w:sz w:val="24"/>
          <w:szCs w:val="24"/>
        </w:rPr>
        <w:t>本项目土石方开挖总量</w:t>
      </w:r>
      <w:r>
        <w:rPr>
          <w:rFonts w:hint="eastAsia"/>
          <w:snapToGrid w:val="0"/>
          <w:kern w:val="0"/>
          <w:sz w:val="24"/>
          <w:szCs w:val="24"/>
        </w:rPr>
        <w:t>11.2</w:t>
      </w:r>
      <w:r>
        <w:rPr>
          <w:rFonts w:hint="eastAsia"/>
          <w:snapToGrid w:val="0"/>
          <w:kern w:val="0"/>
          <w:sz w:val="24"/>
          <w:szCs w:val="24"/>
          <w:lang w:val="en-US" w:eastAsia="zh-CN"/>
        </w:rPr>
        <w:t>0</w:t>
      </w:r>
      <w:r>
        <w:rPr>
          <w:snapToGrid w:val="0"/>
          <w:kern w:val="0"/>
          <w:sz w:val="24"/>
          <w:szCs w:val="24"/>
        </w:rPr>
        <w:t>万m</w:t>
      </w:r>
      <w:r>
        <w:rPr>
          <w:sz w:val="24"/>
          <w:szCs w:val="24"/>
          <w:vertAlign w:val="superscript"/>
        </w:rPr>
        <w:t>3</w:t>
      </w:r>
      <w:r>
        <w:rPr>
          <w:snapToGrid w:val="0"/>
          <w:kern w:val="0"/>
          <w:sz w:val="24"/>
          <w:szCs w:val="24"/>
        </w:rPr>
        <w:t>，土石方回填总量</w:t>
      </w:r>
      <w:r>
        <w:rPr>
          <w:rFonts w:hint="eastAsia"/>
          <w:snapToGrid w:val="0"/>
          <w:kern w:val="0"/>
          <w:sz w:val="24"/>
          <w:szCs w:val="24"/>
        </w:rPr>
        <w:t>14.40</w:t>
      </w:r>
      <w:r>
        <w:rPr>
          <w:snapToGrid w:val="0"/>
          <w:kern w:val="0"/>
          <w:sz w:val="24"/>
          <w:szCs w:val="24"/>
        </w:rPr>
        <w:t>万m</w:t>
      </w:r>
      <w:r>
        <w:rPr>
          <w:sz w:val="24"/>
          <w:szCs w:val="24"/>
          <w:vertAlign w:val="superscript"/>
        </w:rPr>
        <w:t>3</w:t>
      </w:r>
      <w:r>
        <w:rPr>
          <w:snapToGrid w:val="0"/>
          <w:kern w:val="0"/>
          <w:sz w:val="24"/>
          <w:szCs w:val="24"/>
        </w:rPr>
        <w:t>，</w:t>
      </w:r>
      <w:r>
        <w:rPr>
          <w:rFonts w:hint="eastAsia"/>
          <w:snapToGrid w:val="0"/>
          <w:kern w:val="0"/>
          <w:sz w:val="24"/>
          <w:szCs w:val="24"/>
        </w:rPr>
        <w:t>借方</w:t>
      </w:r>
      <w:r>
        <w:rPr>
          <w:snapToGrid w:val="0"/>
          <w:kern w:val="0"/>
          <w:sz w:val="24"/>
          <w:szCs w:val="24"/>
        </w:rPr>
        <w:t>量</w:t>
      </w:r>
      <w:r>
        <w:rPr>
          <w:rFonts w:hint="eastAsia"/>
          <w:snapToGrid w:val="0"/>
          <w:kern w:val="0"/>
          <w:sz w:val="24"/>
          <w:szCs w:val="24"/>
        </w:rPr>
        <w:t>3.</w:t>
      </w:r>
      <w:r>
        <w:rPr>
          <w:rFonts w:hint="eastAsia"/>
          <w:snapToGrid w:val="0"/>
          <w:kern w:val="0"/>
          <w:sz w:val="24"/>
          <w:szCs w:val="24"/>
          <w:lang w:val="en-US" w:eastAsia="zh-CN"/>
        </w:rPr>
        <w:t>2</w:t>
      </w:r>
      <w:r>
        <w:rPr>
          <w:snapToGrid w:val="0"/>
          <w:kern w:val="0"/>
          <w:sz w:val="24"/>
          <w:szCs w:val="24"/>
        </w:rPr>
        <w:t>万m</w:t>
      </w:r>
      <w:r>
        <w:rPr>
          <w:sz w:val="24"/>
          <w:szCs w:val="24"/>
          <w:vertAlign w:val="superscript"/>
        </w:rPr>
        <w:t>3</w:t>
      </w:r>
      <w:r>
        <w:rPr>
          <w:snapToGrid w:val="0"/>
          <w:kern w:val="0"/>
          <w:sz w:val="24"/>
          <w:szCs w:val="24"/>
        </w:rPr>
        <w:t>，无</w:t>
      </w:r>
      <w:r>
        <w:rPr>
          <w:rFonts w:hint="eastAsia"/>
          <w:snapToGrid w:val="0"/>
          <w:kern w:val="0"/>
          <w:sz w:val="24"/>
          <w:szCs w:val="24"/>
        </w:rPr>
        <w:t>弃</w:t>
      </w:r>
      <w:r>
        <w:rPr>
          <w:snapToGrid w:val="0"/>
          <w:kern w:val="0"/>
          <w:sz w:val="24"/>
          <w:szCs w:val="24"/>
        </w:rPr>
        <w:t>方。</w:t>
      </w:r>
      <w:r>
        <w:rPr>
          <w:rFonts w:hint="eastAsia"/>
          <w:snapToGrid w:val="0"/>
          <w:kern w:val="0"/>
          <w:sz w:val="24"/>
          <w:szCs w:val="24"/>
          <w:lang w:val="en-US" w:eastAsia="zh-CN"/>
        </w:rPr>
        <w:t>借方来源于</w:t>
      </w:r>
      <w:r>
        <w:rPr>
          <w:rFonts w:hint="eastAsia" w:ascii="仿宋" w:hAnsi="仿宋" w:eastAsia="仿宋" w:cs="仿宋"/>
          <w:sz w:val="24"/>
          <w:szCs w:val="24"/>
          <w:lang w:val="en-US" w:eastAsia="zh-CN"/>
        </w:rPr>
        <w:t>东</w:t>
      </w:r>
      <w:r>
        <w:rPr>
          <w:rFonts w:hint="eastAsia" w:ascii="仿宋" w:hAnsi="仿宋" w:eastAsia="仿宋" w:cs="仿宋"/>
          <w:sz w:val="24"/>
          <w:szCs w:val="24"/>
          <w:lang w:eastAsia="zh-CN"/>
        </w:rPr>
        <w:t>海岛自来水厂一期配套供水管网工程</w:t>
      </w:r>
      <w:r>
        <w:rPr>
          <w:rFonts w:hint="eastAsia" w:ascii="仿宋" w:hAnsi="仿宋" w:eastAsia="仿宋" w:cs="仿宋"/>
          <w:sz w:val="24"/>
          <w:szCs w:val="24"/>
          <w:lang w:val="en-US" w:eastAsia="zh-CN"/>
        </w:rPr>
        <w:t>弃方</w:t>
      </w:r>
      <w:r>
        <w:rPr>
          <w:rFonts w:hint="eastAsia"/>
          <w:snapToGrid w:val="0"/>
          <w:kern w:val="0"/>
          <w:sz w:val="24"/>
          <w:szCs w:val="24"/>
        </w:rPr>
        <w:t>。</w:t>
      </w:r>
    </w:p>
    <w:p>
      <w:pPr>
        <w:pStyle w:val="7"/>
        <w:rPr>
          <w:rFonts w:hint="eastAsia" w:eastAsia="仿宋_GB2312"/>
          <w:lang w:eastAsia="zh-CN"/>
        </w:rPr>
      </w:pPr>
      <w:r>
        <w:t>表</w:t>
      </w:r>
      <w:r>
        <w:rPr>
          <w:rFonts w:hint="eastAsia"/>
          <w:lang w:val="en-US" w:eastAsia="zh-CN"/>
        </w:rPr>
        <w:t>3.4-1</w:t>
      </w:r>
      <w:r>
        <w:rPr>
          <w:rFonts w:hint="eastAsia"/>
          <w:color w:val="000000"/>
        </w:rPr>
        <w:t>土石方平衡表</w:t>
      </w:r>
      <w:r>
        <w:rPr>
          <w:rFonts w:hint="eastAsia"/>
          <w:color w:val="000000"/>
          <w:lang w:eastAsia="zh-CN"/>
        </w:rPr>
        <w:t>（</w:t>
      </w:r>
      <w:r>
        <w:rPr>
          <w:rFonts w:hint="eastAsia"/>
          <w:color w:val="000000"/>
          <w:lang w:val="en-US" w:eastAsia="zh-CN"/>
        </w:rPr>
        <w:t>单位：万m</w:t>
      </w:r>
      <w:r>
        <w:rPr>
          <w:rFonts w:hint="eastAsia"/>
          <w:color w:val="000000"/>
          <w:vertAlign w:val="superscript"/>
          <w:lang w:val="en-US" w:eastAsia="zh-CN"/>
        </w:rPr>
        <w:t>3</w:t>
      </w:r>
      <w:r>
        <w:rPr>
          <w:rFonts w:hint="eastAsia"/>
          <w:color w:val="000000"/>
          <w:lang w:eastAsia="zh-CN"/>
        </w:rPr>
        <w:t>）</w:t>
      </w:r>
    </w:p>
    <w:tbl>
      <w:tblPr>
        <w:tblStyle w:val="13"/>
        <w:tblW w:w="903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648"/>
        <w:gridCol w:w="750"/>
        <w:gridCol w:w="781"/>
        <w:gridCol w:w="709"/>
        <w:gridCol w:w="1275"/>
        <w:gridCol w:w="709"/>
        <w:gridCol w:w="1015"/>
        <w:gridCol w:w="709"/>
        <w:gridCol w:w="11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67"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eastAsia="黑体"/>
                <w:kern w:val="0"/>
                <w:sz w:val="21"/>
                <w:szCs w:val="21"/>
              </w:rPr>
            </w:pPr>
            <w:r>
              <w:rPr>
                <w:rFonts w:eastAsia="黑体"/>
                <w:kern w:val="0"/>
                <w:sz w:val="21"/>
                <w:szCs w:val="21"/>
              </w:rPr>
              <w:t>项目分区</w:t>
            </w:r>
          </w:p>
        </w:tc>
        <w:tc>
          <w:tcPr>
            <w:tcW w:w="1398"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eastAsia="黑体"/>
                <w:kern w:val="0"/>
                <w:sz w:val="21"/>
                <w:szCs w:val="21"/>
              </w:rPr>
            </w:pPr>
            <w:r>
              <w:rPr>
                <w:rFonts w:eastAsia="黑体"/>
                <w:kern w:val="0"/>
                <w:sz w:val="21"/>
                <w:szCs w:val="21"/>
              </w:rPr>
              <w:t>挖方</w:t>
            </w:r>
          </w:p>
        </w:tc>
        <w:tc>
          <w:tcPr>
            <w:tcW w:w="78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eastAsia="黑体"/>
                <w:kern w:val="0"/>
                <w:sz w:val="21"/>
                <w:szCs w:val="21"/>
              </w:rPr>
            </w:pPr>
            <w:r>
              <w:rPr>
                <w:rFonts w:eastAsia="黑体"/>
                <w:kern w:val="0"/>
                <w:sz w:val="21"/>
                <w:szCs w:val="21"/>
              </w:rPr>
              <w:t>填方</w:t>
            </w:r>
          </w:p>
        </w:tc>
        <w:tc>
          <w:tcPr>
            <w:tcW w:w="1984"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eastAsia="黑体"/>
                <w:kern w:val="0"/>
                <w:sz w:val="21"/>
                <w:szCs w:val="21"/>
              </w:rPr>
            </w:pPr>
            <w:r>
              <w:rPr>
                <w:rFonts w:eastAsia="黑体"/>
                <w:kern w:val="0"/>
                <w:sz w:val="21"/>
                <w:szCs w:val="21"/>
              </w:rPr>
              <w:t>调出方</w:t>
            </w:r>
          </w:p>
        </w:tc>
        <w:tc>
          <w:tcPr>
            <w:tcW w:w="1724"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eastAsia="黑体"/>
                <w:kern w:val="0"/>
                <w:sz w:val="21"/>
                <w:szCs w:val="21"/>
              </w:rPr>
            </w:pPr>
            <w:r>
              <w:rPr>
                <w:rFonts w:eastAsia="黑体"/>
                <w:kern w:val="0"/>
                <w:sz w:val="21"/>
                <w:szCs w:val="21"/>
              </w:rPr>
              <w:t>调入方</w:t>
            </w:r>
          </w:p>
        </w:tc>
        <w:tc>
          <w:tcPr>
            <w:tcW w:w="1885"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eastAsia="黑体"/>
                <w:kern w:val="0"/>
                <w:sz w:val="21"/>
                <w:szCs w:val="21"/>
              </w:rPr>
            </w:pPr>
            <w:r>
              <w:rPr>
                <w:rFonts w:hint="eastAsia" w:eastAsia="黑体"/>
                <w:kern w:val="0"/>
                <w:sz w:val="21"/>
                <w:szCs w:val="21"/>
              </w:rPr>
              <w:t>借方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6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eastAsia="黑体"/>
                <w:kern w:val="0"/>
                <w:sz w:val="21"/>
                <w:szCs w:val="21"/>
              </w:rPr>
            </w:pPr>
          </w:p>
        </w:tc>
        <w:tc>
          <w:tcPr>
            <w:tcW w:w="648"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土方</w:t>
            </w:r>
          </w:p>
        </w:tc>
        <w:tc>
          <w:tcPr>
            <w:tcW w:w="750"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表土</w:t>
            </w:r>
          </w:p>
        </w:tc>
        <w:tc>
          <w:tcPr>
            <w:tcW w:w="78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数量</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去向</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数量</w:t>
            </w:r>
          </w:p>
        </w:tc>
        <w:tc>
          <w:tcPr>
            <w:tcW w:w="101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来源</w:t>
            </w:r>
          </w:p>
        </w:tc>
        <w:tc>
          <w:tcPr>
            <w:tcW w:w="709"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数量</w:t>
            </w:r>
          </w:p>
        </w:tc>
        <w:tc>
          <w:tcPr>
            <w:tcW w:w="1176"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来源</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67"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建筑物区</w:t>
            </w:r>
          </w:p>
        </w:tc>
        <w:tc>
          <w:tcPr>
            <w:tcW w:w="648"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eastAsia="仿宋_GB2312"/>
                <w:kern w:val="0"/>
                <w:sz w:val="21"/>
                <w:szCs w:val="21"/>
                <w:lang w:val="en-US" w:eastAsia="zh-CN"/>
              </w:rPr>
            </w:pPr>
            <w:r>
              <w:rPr>
                <w:rFonts w:hint="eastAsia"/>
                <w:kern w:val="0"/>
                <w:sz w:val="21"/>
                <w:szCs w:val="21"/>
              </w:rPr>
              <w:t>8.</w:t>
            </w:r>
            <w:r>
              <w:rPr>
                <w:rFonts w:hint="eastAsia"/>
                <w:kern w:val="0"/>
                <w:sz w:val="21"/>
                <w:szCs w:val="21"/>
                <w:lang w:val="en-US" w:eastAsia="zh-CN"/>
              </w:rPr>
              <w:t>79</w:t>
            </w:r>
          </w:p>
        </w:tc>
        <w:tc>
          <w:tcPr>
            <w:tcW w:w="750"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1.73</w:t>
            </w: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12.23</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1.73</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绿化区和预留用地区</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0.24</w:t>
            </w:r>
          </w:p>
        </w:tc>
        <w:tc>
          <w:tcPr>
            <w:tcW w:w="101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道路及管线区</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eastAsia="仿宋_GB2312"/>
                <w:kern w:val="0"/>
                <w:sz w:val="21"/>
                <w:szCs w:val="21"/>
                <w:lang w:eastAsia="zh-CN"/>
              </w:rPr>
            </w:pPr>
            <w:r>
              <w:rPr>
                <w:rFonts w:hint="eastAsia"/>
                <w:kern w:val="0"/>
                <w:sz w:val="21"/>
                <w:szCs w:val="21"/>
              </w:rPr>
              <w:t>3.</w:t>
            </w:r>
            <w:r>
              <w:rPr>
                <w:rFonts w:hint="eastAsia"/>
                <w:kern w:val="0"/>
                <w:sz w:val="21"/>
                <w:szCs w:val="21"/>
                <w:lang w:val="en-US" w:eastAsia="zh-CN"/>
              </w:rPr>
              <w:t>2</w:t>
            </w:r>
          </w:p>
        </w:tc>
        <w:tc>
          <w:tcPr>
            <w:tcW w:w="1176" w:type="dxa"/>
            <w:noWrap w:val="0"/>
            <w:vAlign w:val="center"/>
          </w:tcPr>
          <w:p>
            <w:pPr>
              <w:pStyle w:val="1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东</w:t>
            </w:r>
            <w:r>
              <w:rPr>
                <w:rFonts w:hint="eastAsia" w:ascii="仿宋" w:hAnsi="仿宋" w:eastAsia="仿宋" w:cs="仿宋"/>
                <w:sz w:val="21"/>
                <w:szCs w:val="21"/>
                <w:lang w:eastAsia="zh-CN"/>
              </w:rPr>
              <w:t>海岛自来水厂一期配套供水管网工程</w:t>
            </w:r>
            <w:r>
              <w:rPr>
                <w:rFonts w:hint="eastAsia" w:ascii="仿宋" w:hAnsi="仿宋" w:eastAsia="仿宋" w:cs="仿宋"/>
                <w:sz w:val="21"/>
                <w:szCs w:val="21"/>
                <w:lang w:val="en-US" w:eastAsia="zh-CN"/>
              </w:rPr>
              <w:t>弃方</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color w:val="FF0000"/>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6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道路及管线区</w:t>
            </w:r>
          </w:p>
        </w:tc>
        <w:tc>
          <w:tcPr>
            <w:tcW w:w="648"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0.68</w:t>
            </w:r>
          </w:p>
        </w:tc>
        <w:tc>
          <w:tcPr>
            <w:tcW w:w="750"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0.44</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0.24</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建筑物区</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01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67"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绿</w:t>
            </w:r>
            <w:r>
              <w:rPr>
                <w:rFonts w:hint="eastAsia"/>
                <w:kern w:val="0"/>
                <w:sz w:val="21"/>
                <w:szCs w:val="21"/>
              </w:rPr>
              <w:t>化</w:t>
            </w:r>
            <w:r>
              <w:rPr>
                <w:kern w:val="0"/>
                <w:sz w:val="21"/>
                <w:szCs w:val="21"/>
              </w:rPr>
              <w:t>区</w:t>
            </w:r>
          </w:p>
        </w:tc>
        <w:tc>
          <w:tcPr>
            <w:tcW w:w="648"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0.96</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0.96</w:t>
            </w:r>
          </w:p>
        </w:tc>
        <w:tc>
          <w:tcPr>
            <w:tcW w:w="101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建筑物区</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67"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预留用地区</w:t>
            </w:r>
          </w:p>
        </w:tc>
        <w:tc>
          <w:tcPr>
            <w:tcW w:w="648"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750"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0.77</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0.77</w:t>
            </w:r>
          </w:p>
        </w:tc>
        <w:tc>
          <w:tcPr>
            <w:tcW w:w="101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67"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合计</w:t>
            </w:r>
          </w:p>
        </w:tc>
        <w:tc>
          <w:tcPr>
            <w:tcW w:w="1398"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eastAsia="仿宋_GB2312"/>
                <w:kern w:val="0"/>
                <w:sz w:val="21"/>
                <w:szCs w:val="21"/>
                <w:lang w:eastAsia="zh-CN"/>
              </w:rPr>
            </w:pPr>
            <w:r>
              <w:rPr>
                <w:rFonts w:hint="eastAsia"/>
                <w:kern w:val="0"/>
                <w:sz w:val="21"/>
                <w:szCs w:val="21"/>
              </w:rPr>
              <w:t>11.2</w:t>
            </w:r>
            <w:r>
              <w:rPr>
                <w:rFonts w:hint="eastAsia"/>
                <w:kern w:val="0"/>
                <w:sz w:val="21"/>
                <w:szCs w:val="21"/>
                <w:lang w:val="en-US" w:eastAsia="zh-CN"/>
              </w:rPr>
              <w:t>0</w:t>
            </w: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14.40</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2.41</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2.41</w:t>
            </w:r>
          </w:p>
        </w:tc>
        <w:tc>
          <w:tcPr>
            <w:tcW w:w="101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885"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eastAsia="仿宋_GB2312"/>
                <w:kern w:val="0"/>
                <w:sz w:val="21"/>
                <w:szCs w:val="21"/>
                <w:lang w:eastAsia="zh-CN"/>
              </w:rPr>
            </w:pPr>
            <w:r>
              <w:rPr>
                <w:rFonts w:hint="eastAsia"/>
                <w:kern w:val="0"/>
                <w:sz w:val="21"/>
                <w:szCs w:val="21"/>
              </w:rPr>
              <w:t>3.</w:t>
            </w:r>
            <w:r>
              <w:rPr>
                <w:rFonts w:hint="eastAsia"/>
                <w:kern w:val="0"/>
                <w:sz w:val="21"/>
                <w:szCs w:val="21"/>
                <w:lang w:val="en-US" w:eastAsia="zh-CN"/>
              </w:rPr>
              <w:t>2</w:t>
            </w:r>
          </w:p>
        </w:tc>
      </w:tr>
    </w:tbl>
    <w:p>
      <w:pPr>
        <w:sectPr>
          <w:headerReference r:id="rId1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br w:type="page"/>
      </w:r>
    </w:p>
    <w:p>
      <w:pPr>
        <w:pStyle w:val="3"/>
        <w:rPr>
          <w:color w:val="auto"/>
        </w:rPr>
      </w:pPr>
      <w:bookmarkStart w:id="106" w:name="_Toc44318487"/>
      <w:bookmarkStart w:id="107" w:name="_Toc20261"/>
      <w:bookmarkStart w:id="108" w:name="_Toc247706045"/>
      <w:bookmarkStart w:id="109" w:name="_Toc2696"/>
      <w:bookmarkStart w:id="110" w:name="_Toc298858014"/>
      <w:r>
        <w:rPr>
          <w:color w:val="auto"/>
        </w:rPr>
        <w:t>4 水土流失防治措施监测结果</w:t>
      </w:r>
      <w:bookmarkEnd w:id="106"/>
      <w:bookmarkEnd w:id="107"/>
      <w:bookmarkEnd w:id="108"/>
      <w:bookmarkEnd w:id="109"/>
      <w:bookmarkEnd w:id="110"/>
    </w:p>
    <w:p>
      <w:pPr>
        <w:pStyle w:val="4"/>
        <w:keepNext/>
        <w:keepLines/>
        <w:pageBreakBefore w:val="0"/>
        <w:widowControl w:val="0"/>
        <w:kinsoku/>
        <w:wordWrap/>
        <w:overflowPunct/>
        <w:topLinePunct w:val="0"/>
        <w:autoSpaceDE/>
        <w:autoSpaceDN/>
        <w:bidi w:val="0"/>
        <w:adjustRightInd/>
        <w:snapToGrid/>
        <w:spacing w:line="360" w:lineRule="auto"/>
        <w:textAlignment w:val="auto"/>
        <w:rPr>
          <w:rFonts w:ascii="Times New Roman" w:hAnsi="Times New Roman"/>
        </w:rPr>
      </w:pPr>
      <w:bookmarkStart w:id="111" w:name="_Toc247706046"/>
      <w:bookmarkStart w:id="112" w:name="_Toc298858015"/>
      <w:bookmarkStart w:id="113" w:name="_Toc31853"/>
      <w:bookmarkStart w:id="114" w:name="_Toc44318488"/>
      <w:bookmarkStart w:id="115" w:name="_Toc1580"/>
      <w:r>
        <w:rPr>
          <w:rFonts w:ascii="Times New Roman" w:hAnsi="Times New Roman"/>
        </w:rPr>
        <w:t xml:space="preserve">4.1 </w:t>
      </w:r>
      <w:bookmarkEnd w:id="111"/>
      <w:bookmarkEnd w:id="112"/>
      <w:r>
        <w:rPr>
          <w:rFonts w:hint="eastAsia" w:ascii="Times New Roman" w:hAnsi="Times New Roman"/>
          <w:lang w:eastAsia="zh-CN"/>
        </w:rPr>
        <w:t>工程</w:t>
      </w:r>
      <w:r>
        <w:rPr>
          <w:rFonts w:ascii="Times New Roman" w:hAnsi="Times New Roman"/>
        </w:rPr>
        <w:t>措施监测结果</w:t>
      </w:r>
      <w:bookmarkEnd w:id="113"/>
      <w:bookmarkEnd w:id="114"/>
      <w:bookmarkEnd w:id="115"/>
    </w:p>
    <w:p>
      <w:pPr>
        <w:bidi w:val="0"/>
        <w:rPr>
          <w:rFonts w:hint="default"/>
          <w:b/>
          <w:bCs/>
          <w:lang w:val="en-US" w:eastAsia="zh-CN"/>
        </w:rPr>
      </w:pPr>
      <w:r>
        <w:rPr>
          <w:rFonts w:hint="eastAsia"/>
          <w:b/>
          <w:bCs/>
          <w:lang w:val="en-US" w:eastAsia="zh-CN"/>
        </w:rPr>
        <w:t>1、建筑物区</w:t>
      </w:r>
    </w:p>
    <w:p>
      <w:pPr>
        <w:bidi w:val="0"/>
        <w:rPr>
          <w:rFonts w:hint="default"/>
          <w:lang w:val="en-US" w:eastAsia="zh-CN"/>
        </w:rPr>
      </w:pPr>
      <w:r>
        <w:rPr>
          <w:rFonts w:hint="eastAsia"/>
          <w:lang w:val="en-US" w:eastAsia="zh-CN"/>
        </w:rPr>
        <w:t>工程措施：</w:t>
      </w:r>
      <w:r>
        <w:rPr>
          <w:rFonts w:hint="eastAsia"/>
          <w:szCs w:val="21"/>
        </w:rPr>
        <w:t>表土剥离1.73万m</w:t>
      </w:r>
      <w:r>
        <w:rPr>
          <w:rFonts w:hint="eastAsia"/>
          <w:szCs w:val="21"/>
          <w:vertAlign w:val="superscript"/>
        </w:rPr>
        <w:t>3</w:t>
      </w:r>
      <w:r>
        <w:rPr>
          <w:rFonts w:hint="eastAsia"/>
          <w:szCs w:val="21"/>
        </w:rPr>
        <w:t>。</w:t>
      </w:r>
    </w:p>
    <w:p>
      <w:pPr>
        <w:bidi w:val="0"/>
        <w:rPr>
          <w:rFonts w:hint="default"/>
          <w:b/>
          <w:bCs/>
          <w:lang w:val="en-US" w:eastAsia="zh-CN"/>
        </w:rPr>
      </w:pPr>
      <w:r>
        <w:rPr>
          <w:rFonts w:hint="eastAsia"/>
          <w:b/>
          <w:bCs/>
          <w:lang w:val="en-US" w:eastAsia="zh-CN"/>
        </w:rPr>
        <w:t>2、道路及管线区</w:t>
      </w:r>
    </w:p>
    <w:p>
      <w:pPr>
        <w:bidi w:val="0"/>
        <w:rPr>
          <w:rFonts w:hint="eastAsia"/>
          <w:lang w:val="en-US" w:eastAsia="zh-CN"/>
        </w:rPr>
      </w:pPr>
      <w:r>
        <w:rPr>
          <w:rFonts w:hint="eastAsia"/>
          <w:lang w:val="en-US" w:eastAsia="zh-CN"/>
        </w:rPr>
        <w:t>工程措施：</w:t>
      </w:r>
      <w:r>
        <w:rPr>
          <w:szCs w:val="21"/>
        </w:rPr>
        <w:t>雨水管道</w:t>
      </w:r>
      <w:r>
        <w:rPr>
          <w:rFonts w:hint="eastAsia"/>
          <w:szCs w:val="21"/>
        </w:rPr>
        <w:t>2500</w:t>
      </w:r>
      <w:r>
        <w:rPr>
          <w:szCs w:val="21"/>
        </w:rPr>
        <w:t>m</w:t>
      </w:r>
      <w:r>
        <w:rPr>
          <w:rFonts w:hint="eastAsia"/>
          <w:szCs w:val="21"/>
        </w:rPr>
        <w:t>，</w:t>
      </w:r>
      <w:r>
        <w:rPr>
          <w:szCs w:val="21"/>
        </w:rPr>
        <w:t>洗车池</w:t>
      </w:r>
      <w:r>
        <w:rPr>
          <w:rFonts w:hint="eastAsia"/>
          <w:szCs w:val="21"/>
        </w:rPr>
        <w:t>1座</w:t>
      </w:r>
      <w:r>
        <w:rPr>
          <w:rFonts w:hint="eastAsia" w:ascii="Times New Roman" w:hAnsi="Times New Roman" w:eastAsia="仿宋" w:cs="Times New Roman"/>
          <w:sz w:val="24"/>
          <w:szCs w:val="24"/>
          <w:vertAlign w:val="baseline"/>
          <w:lang w:eastAsia="zh-CN"/>
        </w:rPr>
        <w:t>，</w:t>
      </w:r>
      <w:r>
        <w:rPr>
          <w:rFonts w:hint="eastAsia" w:ascii="Times New Roman" w:hAnsi="Times New Roman" w:eastAsia="仿宋" w:cs="Times New Roman"/>
          <w:sz w:val="24"/>
          <w:szCs w:val="24"/>
          <w:vertAlign w:val="baseline"/>
          <w:lang w:val="en-US" w:eastAsia="zh-CN"/>
        </w:rPr>
        <w:t>浆砌片石护坡0.32</w:t>
      </w:r>
      <w:r>
        <w:rPr>
          <w:rFonts w:hint="default" w:ascii="Times New Roman" w:hAnsi="Times New Roman" w:eastAsia="仿宋" w:cs="Times New Roman"/>
          <w:sz w:val="24"/>
          <w:szCs w:val="24"/>
        </w:rPr>
        <w:t>hm</w:t>
      </w:r>
      <w:r>
        <w:rPr>
          <w:rFonts w:hint="default" w:ascii="Times New Roman" w:hAnsi="Times New Roman" w:eastAsia="仿宋" w:cs="Times New Roman"/>
          <w:sz w:val="24"/>
          <w:szCs w:val="24"/>
          <w:vertAlign w:val="superscript"/>
        </w:rPr>
        <w:t>2</w:t>
      </w:r>
      <w:r>
        <w:rPr>
          <w:szCs w:val="21"/>
        </w:rPr>
        <w:t>。</w:t>
      </w:r>
    </w:p>
    <w:p>
      <w:pPr>
        <w:bidi w:val="0"/>
        <w:rPr>
          <w:rFonts w:hint="default"/>
          <w:b/>
          <w:bCs/>
          <w:lang w:val="en-US" w:eastAsia="zh-CN"/>
        </w:rPr>
      </w:pPr>
      <w:r>
        <w:rPr>
          <w:rFonts w:hint="eastAsia"/>
          <w:b/>
          <w:bCs/>
          <w:lang w:val="en-US" w:eastAsia="zh-CN"/>
        </w:rPr>
        <w:t>3、绿化区</w:t>
      </w:r>
    </w:p>
    <w:p>
      <w:pPr>
        <w:bidi w:val="0"/>
        <w:rPr>
          <w:rFonts w:hint="eastAsia"/>
          <w:lang w:val="en-US" w:eastAsia="zh-CN"/>
        </w:rPr>
      </w:pPr>
      <w:r>
        <w:rPr>
          <w:rFonts w:hint="eastAsia"/>
          <w:lang w:val="en-US" w:eastAsia="zh-CN"/>
        </w:rPr>
        <w:t>工程措施：</w:t>
      </w:r>
      <w:r>
        <w:rPr>
          <w:rFonts w:hint="eastAsia"/>
          <w:szCs w:val="21"/>
        </w:rPr>
        <w:t>表土回填0.96万m</w:t>
      </w:r>
      <w:r>
        <w:rPr>
          <w:rFonts w:hint="eastAsia"/>
          <w:szCs w:val="21"/>
          <w:vertAlign w:val="superscript"/>
        </w:rPr>
        <w:t>3</w:t>
      </w:r>
      <w:r>
        <w:rPr>
          <w:rFonts w:hint="eastAsia"/>
          <w:szCs w:val="21"/>
        </w:rPr>
        <w:t>。</w:t>
      </w:r>
    </w:p>
    <w:p>
      <w:pPr>
        <w:bidi w:val="0"/>
        <w:rPr>
          <w:rFonts w:hint="default"/>
          <w:b/>
          <w:bCs/>
          <w:lang w:val="en-US" w:eastAsia="zh-CN"/>
        </w:rPr>
      </w:pPr>
      <w:r>
        <w:rPr>
          <w:rFonts w:hint="eastAsia"/>
          <w:b/>
          <w:bCs/>
          <w:lang w:val="en-US" w:eastAsia="zh-CN"/>
        </w:rPr>
        <w:t>4、预留用地区</w:t>
      </w:r>
    </w:p>
    <w:p>
      <w:pPr>
        <w:bidi w:val="0"/>
        <w:rPr>
          <w:rFonts w:hint="eastAsia"/>
          <w:lang w:val="en-US" w:eastAsia="zh-CN"/>
        </w:rPr>
      </w:pPr>
      <w:r>
        <w:rPr>
          <w:rFonts w:hint="eastAsia"/>
          <w:lang w:val="en-US" w:eastAsia="zh-CN"/>
        </w:rPr>
        <w:t>工程措施：</w:t>
      </w:r>
      <w:r>
        <w:rPr>
          <w:rFonts w:hint="eastAsia"/>
          <w:szCs w:val="21"/>
        </w:rPr>
        <w:t>表土回填0.77万m</w:t>
      </w:r>
      <w:r>
        <w:rPr>
          <w:rFonts w:hint="eastAsia"/>
          <w:szCs w:val="21"/>
          <w:vertAlign w:val="superscript"/>
        </w:rPr>
        <w:t>3</w:t>
      </w:r>
      <w:r>
        <w:rPr>
          <w:rFonts w:hint="eastAsia"/>
          <w:szCs w:val="21"/>
        </w:rPr>
        <w:t>。</w:t>
      </w:r>
    </w:p>
    <w:p>
      <w:pPr>
        <w:pStyle w:val="2"/>
        <w:rPr>
          <w:rFonts w:hint="default"/>
          <w:lang w:val="en-US" w:eastAsia="zh-CN"/>
        </w:rPr>
      </w:pPr>
    </w:p>
    <w:p>
      <w:pPr>
        <w:pStyle w:val="7"/>
        <w:bidi w:val="0"/>
        <w:rPr>
          <w:rFonts w:hint="default"/>
          <w:lang w:val="en-US" w:eastAsia="zh-CN"/>
        </w:rPr>
      </w:pPr>
      <w:r>
        <w:t xml:space="preserve">表4.1- </w:t>
      </w:r>
      <w:r>
        <w:fldChar w:fldCharType="begin"/>
      </w:r>
      <w:r>
        <w:instrText xml:space="preserve"> SEQ 表4.1- \* ARABIC </w:instrText>
      </w:r>
      <w:r>
        <w:fldChar w:fldCharType="separate"/>
      </w:r>
      <w:r>
        <w:t>1</w:t>
      </w:r>
      <w:r>
        <w:fldChar w:fldCharType="end"/>
      </w:r>
      <w:r>
        <w:t>实际完成的工程措施量表</w:t>
      </w:r>
    </w:p>
    <w:tbl>
      <w:tblPr>
        <w:tblStyle w:val="13"/>
        <w:tblW w:w="5084" w:type="pct"/>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17"/>
        <w:gridCol w:w="1470"/>
        <w:gridCol w:w="1052"/>
        <w:gridCol w:w="1209"/>
        <w:gridCol w:w="3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97" w:type="pct"/>
            <w:noWrap/>
            <w:vAlign w:val="center"/>
          </w:tcPr>
          <w:p>
            <w:pPr>
              <w:pStyle w:val="17"/>
              <w:bidi w:val="0"/>
              <w:rPr>
                <w:rFonts w:hint="eastAsia" w:eastAsia="仿宋_GB2312"/>
                <w:sz w:val="21"/>
                <w:szCs w:val="21"/>
                <w:lang w:val="en-US" w:eastAsia="zh-CN"/>
              </w:rPr>
            </w:pPr>
            <w:r>
              <w:rPr>
                <w:rFonts w:hint="eastAsia"/>
                <w:sz w:val="21"/>
                <w:szCs w:val="21"/>
                <w:lang w:val="en-US" w:eastAsia="zh-CN"/>
              </w:rPr>
              <w:t>分区</w:t>
            </w:r>
          </w:p>
        </w:tc>
        <w:tc>
          <w:tcPr>
            <w:tcW w:w="869" w:type="pct"/>
            <w:noWrap/>
            <w:vAlign w:val="center"/>
          </w:tcPr>
          <w:p>
            <w:pPr>
              <w:pStyle w:val="17"/>
              <w:bidi w:val="0"/>
              <w:rPr>
                <w:sz w:val="21"/>
                <w:szCs w:val="21"/>
              </w:rPr>
            </w:pPr>
            <w:r>
              <w:rPr>
                <w:sz w:val="21"/>
                <w:szCs w:val="21"/>
              </w:rPr>
              <w:t>措施</w:t>
            </w:r>
          </w:p>
        </w:tc>
        <w:tc>
          <w:tcPr>
            <w:tcW w:w="622" w:type="pct"/>
            <w:noWrap/>
            <w:vAlign w:val="center"/>
          </w:tcPr>
          <w:p>
            <w:pPr>
              <w:pStyle w:val="17"/>
              <w:bidi w:val="0"/>
              <w:rPr>
                <w:sz w:val="21"/>
                <w:szCs w:val="21"/>
              </w:rPr>
            </w:pPr>
            <w:r>
              <w:rPr>
                <w:sz w:val="21"/>
                <w:szCs w:val="21"/>
              </w:rPr>
              <w:t>单位</w:t>
            </w:r>
          </w:p>
        </w:tc>
        <w:tc>
          <w:tcPr>
            <w:tcW w:w="715" w:type="pct"/>
            <w:noWrap/>
            <w:vAlign w:val="center"/>
          </w:tcPr>
          <w:p>
            <w:pPr>
              <w:pStyle w:val="17"/>
              <w:bidi w:val="0"/>
              <w:rPr>
                <w:sz w:val="21"/>
                <w:szCs w:val="21"/>
              </w:rPr>
            </w:pPr>
            <w:r>
              <w:rPr>
                <w:sz w:val="21"/>
                <w:szCs w:val="21"/>
              </w:rPr>
              <w:t>实际工程量</w:t>
            </w:r>
          </w:p>
        </w:tc>
        <w:tc>
          <w:tcPr>
            <w:tcW w:w="1896" w:type="pct"/>
            <w:noWrap/>
            <w:vAlign w:val="center"/>
          </w:tcPr>
          <w:p>
            <w:pPr>
              <w:pStyle w:val="17"/>
              <w:bidi w:val="0"/>
              <w:rPr>
                <w:sz w:val="21"/>
                <w:szCs w:val="21"/>
              </w:rPr>
            </w:pPr>
            <w:r>
              <w:rPr>
                <w:sz w:val="21"/>
                <w:szCs w:val="21"/>
                <w:highlight w:val="none"/>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trPr>
        <w:tc>
          <w:tcPr>
            <w:tcW w:w="897"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eastAsia="仿宋_GB2312"/>
                <w:sz w:val="21"/>
                <w:szCs w:val="21"/>
                <w:lang w:val="en-US" w:eastAsia="zh-CN"/>
              </w:rPr>
            </w:pPr>
            <w:r>
              <w:rPr>
                <w:kern w:val="0"/>
                <w:sz w:val="21"/>
                <w:szCs w:val="21"/>
              </w:rPr>
              <w:t>建筑物区</w:t>
            </w:r>
          </w:p>
        </w:tc>
        <w:tc>
          <w:tcPr>
            <w:tcW w:w="869" w:type="pct"/>
            <w:noWrap/>
            <w:vAlign w:val="center"/>
          </w:tcPr>
          <w:p>
            <w:pPr>
              <w:pStyle w:val="17"/>
              <w:bidi w:val="0"/>
              <w:rPr>
                <w:sz w:val="21"/>
                <w:szCs w:val="21"/>
              </w:rPr>
            </w:pPr>
            <w:r>
              <w:rPr>
                <w:rFonts w:hint="eastAsia"/>
                <w:szCs w:val="21"/>
              </w:rPr>
              <w:t>表土剥离</w:t>
            </w:r>
          </w:p>
        </w:tc>
        <w:tc>
          <w:tcPr>
            <w:tcW w:w="622" w:type="pct"/>
            <w:noWrap/>
            <w:vAlign w:val="center"/>
          </w:tcPr>
          <w:p>
            <w:pPr>
              <w:pStyle w:val="17"/>
              <w:bidi w:val="0"/>
              <w:ind w:firstLine="0" w:firstLineChars="0"/>
              <w:rPr>
                <w:rFonts w:hint="eastAsia" w:eastAsia="仿宋_GB2312"/>
                <w:sz w:val="21"/>
                <w:szCs w:val="21"/>
                <w:lang w:eastAsia="zh-CN"/>
              </w:rPr>
            </w:pPr>
            <w:r>
              <w:rPr>
                <w:rFonts w:hint="eastAsia"/>
                <w:sz w:val="21"/>
                <w:szCs w:val="18"/>
              </w:rPr>
              <w:t>万m</w:t>
            </w:r>
            <w:r>
              <w:rPr>
                <w:rFonts w:hint="eastAsia"/>
                <w:sz w:val="21"/>
                <w:szCs w:val="18"/>
                <w:vertAlign w:val="superscript"/>
              </w:rPr>
              <w:t>3</w:t>
            </w:r>
          </w:p>
        </w:tc>
        <w:tc>
          <w:tcPr>
            <w:tcW w:w="715" w:type="pct"/>
            <w:noWrap/>
            <w:vAlign w:val="center"/>
          </w:tcPr>
          <w:p>
            <w:pPr>
              <w:pStyle w:val="17"/>
              <w:bidi w:val="0"/>
              <w:ind w:firstLine="0" w:firstLineChars="0"/>
              <w:rPr>
                <w:rFonts w:hint="default" w:eastAsia="仿宋_GB2312"/>
                <w:sz w:val="21"/>
                <w:szCs w:val="21"/>
                <w:lang w:val="en-US" w:eastAsia="zh-CN"/>
              </w:rPr>
            </w:pPr>
            <w:r>
              <w:rPr>
                <w:rFonts w:hint="eastAsia"/>
                <w:sz w:val="21"/>
                <w:szCs w:val="21"/>
                <w:lang w:val="en-US" w:eastAsia="zh-CN"/>
              </w:rPr>
              <w:t>1.73</w:t>
            </w:r>
          </w:p>
        </w:tc>
        <w:tc>
          <w:tcPr>
            <w:tcW w:w="1896" w:type="pct"/>
            <w:noWrap/>
            <w:vAlign w:val="center"/>
          </w:tcPr>
          <w:p>
            <w:pPr>
              <w:pStyle w:val="17"/>
              <w:bidi w:val="0"/>
              <w:rPr>
                <w:rFonts w:hint="default" w:eastAsia="仿宋_GB2312"/>
                <w:sz w:val="21"/>
                <w:szCs w:val="21"/>
                <w:lang w:val="en-US" w:eastAsia="zh-CN"/>
              </w:rPr>
            </w:pPr>
            <w:r>
              <w:rPr>
                <w:rFonts w:hint="eastAsia"/>
                <w:sz w:val="21"/>
                <w:szCs w:val="21"/>
                <w:lang w:val="en-US" w:eastAsia="zh-CN"/>
              </w:rPr>
              <w:t>2017年6月~2017年12月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trPr>
        <w:tc>
          <w:tcPr>
            <w:tcW w:w="897"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eastAsia="zh-CN"/>
              </w:rPr>
            </w:pPr>
            <w:r>
              <w:rPr>
                <w:kern w:val="0"/>
                <w:sz w:val="21"/>
                <w:szCs w:val="21"/>
              </w:rPr>
              <w:t>道路及管线区</w:t>
            </w:r>
          </w:p>
        </w:tc>
        <w:tc>
          <w:tcPr>
            <w:tcW w:w="869" w:type="pct"/>
            <w:noWrap/>
            <w:vAlign w:val="center"/>
          </w:tcPr>
          <w:p>
            <w:pPr>
              <w:pStyle w:val="17"/>
              <w:bidi w:val="0"/>
              <w:rPr>
                <w:color w:val="auto"/>
                <w:sz w:val="21"/>
                <w:szCs w:val="21"/>
              </w:rPr>
            </w:pPr>
            <w:r>
              <w:rPr>
                <w:rFonts w:hint="eastAsia"/>
                <w:color w:val="auto"/>
                <w:sz w:val="21"/>
                <w:szCs w:val="21"/>
                <w:lang w:val="en-US" w:eastAsia="zh-CN"/>
              </w:rPr>
              <w:t>雨水管网</w:t>
            </w:r>
          </w:p>
        </w:tc>
        <w:tc>
          <w:tcPr>
            <w:tcW w:w="622" w:type="pct"/>
            <w:noWrap/>
            <w:vAlign w:val="center"/>
          </w:tcPr>
          <w:p>
            <w:pPr>
              <w:pStyle w:val="17"/>
              <w:bidi w:val="0"/>
              <w:ind w:firstLine="0" w:firstLineChars="0"/>
              <w:rPr>
                <w:color w:val="auto"/>
                <w:sz w:val="21"/>
                <w:szCs w:val="21"/>
              </w:rPr>
            </w:pPr>
            <w:r>
              <w:rPr>
                <w:color w:val="auto"/>
                <w:sz w:val="21"/>
                <w:szCs w:val="21"/>
              </w:rPr>
              <w:t>m</w:t>
            </w:r>
          </w:p>
        </w:tc>
        <w:tc>
          <w:tcPr>
            <w:tcW w:w="715" w:type="pct"/>
            <w:noWrap/>
            <w:vAlign w:val="center"/>
          </w:tcPr>
          <w:p>
            <w:pPr>
              <w:pStyle w:val="17"/>
              <w:bidi w:val="0"/>
              <w:ind w:firstLine="0" w:firstLineChars="0"/>
              <w:rPr>
                <w:rFonts w:hint="default"/>
                <w:color w:val="auto"/>
                <w:sz w:val="21"/>
                <w:szCs w:val="21"/>
                <w:lang w:val="en-US" w:eastAsia="zh-CN"/>
              </w:rPr>
            </w:pPr>
            <w:r>
              <w:rPr>
                <w:rFonts w:hint="eastAsia"/>
                <w:color w:val="auto"/>
                <w:sz w:val="21"/>
                <w:szCs w:val="21"/>
                <w:lang w:val="en-US" w:eastAsia="zh-CN"/>
              </w:rPr>
              <w:t>2520</w:t>
            </w:r>
          </w:p>
        </w:tc>
        <w:tc>
          <w:tcPr>
            <w:tcW w:w="1896" w:type="pct"/>
            <w:noWrap/>
            <w:vAlign w:val="center"/>
          </w:tcPr>
          <w:p>
            <w:pPr>
              <w:pStyle w:val="17"/>
              <w:bidi w:val="0"/>
              <w:rPr>
                <w:rFonts w:hint="eastAsia"/>
                <w:color w:val="auto"/>
                <w:sz w:val="21"/>
                <w:szCs w:val="21"/>
                <w:lang w:val="en-US" w:eastAsia="zh-CN"/>
              </w:rPr>
            </w:pPr>
            <w:r>
              <w:rPr>
                <w:rFonts w:hint="eastAsia"/>
                <w:color w:val="auto"/>
                <w:sz w:val="21"/>
                <w:szCs w:val="21"/>
                <w:lang w:val="en-US" w:eastAsia="zh-CN"/>
              </w:rPr>
              <w:t>2017年12月~2018年12月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trPr>
        <w:tc>
          <w:tcPr>
            <w:tcW w:w="897"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869" w:type="pct"/>
            <w:noWrap/>
            <w:vAlign w:val="center"/>
          </w:tcPr>
          <w:p>
            <w:pPr>
              <w:pStyle w:val="17"/>
              <w:bidi w:val="0"/>
              <w:rPr>
                <w:rFonts w:hint="default"/>
                <w:color w:val="auto"/>
                <w:sz w:val="21"/>
                <w:szCs w:val="21"/>
                <w:lang w:val="en-US" w:eastAsia="zh-CN"/>
              </w:rPr>
            </w:pPr>
            <w:r>
              <w:rPr>
                <w:rFonts w:hint="eastAsia"/>
                <w:color w:val="auto"/>
                <w:sz w:val="21"/>
                <w:szCs w:val="21"/>
                <w:lang w:val="en-US" w:eastAsia="zh-CN"/>
              </w:rPr>
              <w:t>洗车池</w:t>
            </w:r>
          </w:p>
        </w:tc>
        <w:tc>
          <w:tcPr>
            <w:tcW w:w="622" w:type="pct"/>
            <w:noWrap/>
            <w:vAlign w:val="center"/>
          </w:tcPr>
          <w:p>
            <w:pPr>
              <w:pStyle w:val="17"/>
              <w:bidi w:val="0"/>
              <w:ind w:firstLine="0" w:firstLineChars="0"/>
              <w:rPr>
                <w:rFonts w:hint="eastAsia" w:eastAsia="仿宋_GB2312"/>
                <w:color w:val="auto"/>
                <w:sz w:val="21"/>
                <w:szCs w:val="21"/>
                <w:lang w:val="en-US" w:eastAsia="zh-CN"/>
              </w:rPr>
            </w:pPr>
            <w:r>
              <w:rPr>
                <w:rFonts w:hint="eastAsia"/>
                <w:color w:val="auto"/>
                <w:sz w:val="21"/>
                <w:szCs w:val="21"/>
                <w:lang w:val="en-US" w:eastAsia="zh-CN"/>
              </w:rPr>
              <w:t>座</w:t>
            </w:r>
          </w:p>
        </w:tc>
        <w:tc>
          <w:tcPr>
            <w:tcW w:w="715" w:type="pct"/>
            <w:noWrap/>
            <w:vAlign w:val="center"/>
          </w:tcPr>
          <w:p>
            <w:pPr>
              <w:pStyle w:val="17"/>
              <w:bidi w:val="0"/>
              <w:ind w:firstLine="0" w:firstLineChars="0"/>
              <w:rPr>
                <w:rFonts w:hint="default"/>
                <w:color w:val="auto"/>
                <w:sz w:val="21"/>
                <w:szCs w:val="21"/>
                <w:lang w:val="en-US" w:eastAsia="zh-CN"/>
              </w:rPr>
            </w:pPr>
            <w:r>
              <w:rPr>
                <w:rFonts w:hint="eastAsia"/>
                <w:color w:val="auto"/>
                <w:sz w:val="21"/>
                <w:szCs w:val="21"/>
                <w:lang w:val="en-US" w:eastAsia="zh-CN"/>
              </w:rPr>
              <w:t>1</w:t>
            </w:r>
          </w:p>
        </w:tc>
        <w:tc>
          <w:tcPr>
            <w:tcW w:w="1896" w:type="pct"/>
            <w:noWrap/>
            <w:vAlign w:val="center"/>
          </w:tcPr>
          <w:p>
            <w:pPr>
              <w:pStyle w:val="17"/>
              <w:bidi w:val="0"/>
              <w:rPr>
                <w:rFonts w:hint="eastAsia"/>
                <w:color w:val="auto"/>
                <w:sz w:val="21"/>
                <w:szCs w:val="21"/>
                <w:lang w:val="en-US" w:eastAsia="zh-CN"/>
              </w:rPr>
            </w:pPr>
            <w:r>
              <w:rPr>
                <w:rFonts w:hint="eastAsia"/>
                <w:sz w:val="21"/>
                <w:szCs w:val="21"/>
                <w:lang w:val="en-US" w:eastAsia="zh-CN"/>
              </w:rPr>
              <w:t>2017年6月~2017年12月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97"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kern w:val="0"/>
                <w:sz w:val="21"/>
                <w:szCs w:val="21"/>
              </w:rPr>
              <w:t>绿化区</w:t>
            </w:r>
          </w:p>
        </w:tc>
        <w:tc>
          <w:tcPr>
            <w:tcW w:w="86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sz w:val="21"/>
                <w:szCs w:val="21"/>
              </w:rPr>
              <w:t>表土回填</w:t>
            </w:r>
          </w:p>
        </w:tc>
        <w:tc>
          <w:tcPr>
            <w:tcW w:w="622"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18"/>
                <w:szCs w:val="18"/>
              </w:rPr>
            </w:pPr>
            <w:r>
              <w:rPr>
                <w:rFonts w:hint="eastAsia"/>
                <w:sz w:val="21"/>
                <w:szCs w:val="18"/>
              </w:rPr>
              <w:t>万m</w:t>
            </w:r>
            <w:r>
              <w:rPr>
                <w:rFonts w:hint="eastAsia"/>
                <w:sz w:val="21"/>
                <w:szCs w:val="18"/>
                <w:vertAlign w:val="superscript"/>
              </w:rPr>
              <w:t>3</w:t>
            </w:r>
          </w:p>
        </w:tc>
        <w:tc>
          <w:tcPr>
            <w:tcW w:w="715" w:type="pct"/>
            <w:noWrap/>
            <w:vAlign w:val="center"/>
          </w:tcPr>
          <w:p>
            <w:pPr>
              <w:pStyle w:val="17"/>
              <w:bidi w:val="0"/>
              <w:ind w:firstLine="0" w:firstLineChars="0"/>
              <w:rPr>
                <w:rFonts w:hint="default"/>
                <w:color w:val="auto"/>
                <w:sz w:val="21"/>
                <w:szCs w:val="21"/>
                <w:lang w:val="en-US" w:eastAsia="zh-CN"/>
              </w:rPr>
            </w:pPr>
            <w:r>
              <w:rPr>
                <w:rFonts w:hint="eastAsia"/>
                <w:color w:val="auto"/>
                <w:sz w:val="21"/>
                <w:szCs w:val="21"/>
                <w:lang w:val="en-US" w:eastAsia="zh-CN"/>
              </w:rPr>
              <w:t>0.96</w:t>
            </w:r>
          </w:p>
        </w:tc>
        <w:tc>
          <w:tcPr>
            <w:tcW w:w="1896" w:type="pct"/>
            <w:noWrap/>
            <w:vAlign w:val="center"/>
          </w:tcPr>
          <w:p>
            <w:pPr>
              <w:pStyle w:val="17"/>
              <w:bidi w:val="0"/>
              <w:rPr>
                <w:rFonts w:hint="eastAsia"/>
                <w:color w:val="auto"/>
                <w:sz w:val="21"/>
                <w:szCs w:val="21"/>
                <w:lang w:val="en-US" w:eastAsia="zh-CN"/>
              </w:rPr>
            </w:pPr>
            <w:r>
              <w:rPr>
                <w:rFonts w:hint="eastAsia"/>
                <w:color w:val="auto"/>
                <w:sz w:val="21"/>
                <w:szCs w:val="21"/>
                <w:lang w:val="en-US" w:eastAsia="zh-CN"/>
              </w:rPr>
              <w:t>2020年7月~2020年12月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9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kern w:val="0"/>
                <w:sz w:val="21"/>
                <w:szCs w:val="21"/>
              </w:rPr>
              <w:t>预留用地区</w:t>
            </w:r>
          </w:p>
        </w:tc>
        <w:tc>
          <w:tcPr>
            <w:tcW w:w="86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sz w:val="21"/>
                <w:szCs w:val="21"/>
              </w:rPr>
              <w:t>表土回填</w:t>
            </w:r>
          </w:p>
        </w:tc>
        <w:tc>
          <w:tcPr>
            <w:tcW w:w="622"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18"/>
                <w:szCs w:val="18"/>
              </w:rPr>
            </w:pPr>
            <w:r>
              <w:rPr>
                <w:rFonts w:hint="eastAsia"/>
                <w:sz w:val="21"/>
                <w:szCs w:val="18"/>
              </w:rPr>
              <w:t>万m</w:t>
            </w:r>
            <w:r>
              <w:rPr>
                <w:rFonts w:hint="eastAsia"/>
                <w:sz w:val="21"/>
                <w:szCs w:val="18"/>
                <w:vertAlign w:val="superscript"/>
              </w:rPr>
              <w:t>3</w:t>
            </w:r>
          </w:p>
        </w:tc>
        <w:tc>
          <w:tcPr>
            <w:tcW w:w="715" w:type="pct"/>
            <w:noWrap/>
            <w:vAlign w:val="center"/>
          </w:tcPr>
          <w:p>
            <w:pPr>
              <w:pStyle w:val="17"/>
              <w:bidi w:val="0"/>
              <w:ind w:firstLine="0" w:firstLineChars="0"/>
              <w:rPr>
                <w:rFonts w:hint="default"/>
                <w:color w:val="auto"/>
                <w:sz w:val="21"/>
                <w:szCs w:val="21"/>
                <w:lang w:val="en-US" w:eastAsia="zh-CN"/>
              </w:rPr>
            </w:pPr>
            <w:r>
              <w:rPr>
                <w:rFonts w:hint="eastAsia"/>
                <w:color w:val="auto"/>
                <w:sz w:val="21"/>
                <w:szCs w:val="21"/>
                <w:lang w:val="en-US" w:eastAsia="zh-CN"/>
              </w:rPr>
              <w:t>0.77</w:t>
            </w:r>
          </w:p>
        </w:tc>
        <w:tc>
          <w:tcPr>
            <w:tcW w:w="1896" w:type="pct"/>
            <w:noWrap/>
            <w:vAlign w:val="center"/>
          </w:tcPr>
          <w:p>
            <w:pPr>
              <w:pStyle w:val="17"/>
              <w:bidi w:val="0"/>
              <w:rPr>
                <w:rFonts w:hint="eastAsia"/>
                <w:color w:val="auto"/>
                <w:sz w:val="21"/>
                <w:szCs w:val="21"/>
                <w:lang w:val="en-US" w:eastAsia="zh-CN"/>
              </w:rPr>
            </w:pPr>
            <w:r>
              <w:rPr>
                <w:rFonts w:hint="eastAsia"/>
                <w:color w:val="auto"/>
                <w:sz w:val="21"/>
                <w:szCs w:val="21"/>
                <w:lang w:val="en-US" w:eastAsia="zh-CN"/>
              </w:rPr>
              <w:t>2020年7月~2020年12月</w:t>
            </w:r>
          </w:p>
        </w:tc>
      </w:tr>
    </w:tbl>
    <w:p>
      <w:pPr>
        <w:adjustRightInd w:val="0"/>
        <w:snapToGrid w:val="0"/>
        <w:spacing w:before="156" w:beforeLines="50" w:line="640" w:lineRule="exact"/>
        <w:ind w:left="0" w:leftChars="0" w:firstLine="0" w:firstLineChars="0"/>
        <w:rPr>
          <w:rFonts w:ascii="Times New Roman" w:hAnsi="Times New Roman" w:eastAsia="仿宋_GB2312"/>
          <w:color w:val="auto"/>
          <w:sz w:val="24"/>
          <w:szCs w:val="24"/>
        </w:rPr>
      </w:pPr>
    </w:p>
    <w:tbl>
      <w:tblPr>
        <w:tblStyle w:val="13"/>
        <w:tblW w:w="9174" w:type="dxa"/>
        <w:tblInd w:w="0" w:type="dxa"/>
        <w:tblLayout w:type="fixed"/>
        <w:tblCellMar>
          <w:top w:w="0" w:type="dxa"/>
          <w:left w:w="108" w:type="dxa"/>
          <w:bottom w:w="0" w:type="dxa"/>
          <w:right w:w="108" w:type="dxa"/>
        </w:tblCellMar>
      </w:tblPr>
      <w:tblGrid>
        <w:gridCol w:w="4594"/>
        <w:gridCol w:w="4580"/>
      </w:tblGrid>
      <w:tr>
        <w:tblPrEx>
          <w:tblCellMar>
            <w:top w:w="0" w:type="dxa"/>
            <w:left w:w="108" w:type="dxa"/>
            <w:bottom w:w="0" w:type="dxa"/>
            <w:right w:w="108" w:type="dxa"/>
          </w:tblCellMar>
        </w:tblPrEx>
        <w:tc>
          <w:tcPr>
            <w:tcW w:w="4594" w:type="dxa"/>
          </w:tcPr>
          <w:p>
            <w:pPr>
              <w:pStyle w:val="17"/>
              <w:bidi w:val="0"/>
              <w:jc w:val="both"/>
            </w:pPr>
            <w:r>
              <w:drawing>
                <wp:inline distT="0" distB="0" distL="114300" distR="114300">
                  <wp:extent cx="2778760" cy="2246630"/>
                  <wp:effectExtent l="0" t="0" r="2540" b="127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34"/>
                          <a:stretch>
                            <a:fillRect/>
                          </a:stretch>
                        </pic:blipFill>
                        <pic:spPr>
                          <a:xfrm>
                            <a:off x="0" y="0"/>
                            <a:ext cx="2778760" cy="2246630"/>
                          </a:xfrm>
                          <a:prstGeom prst="rect">
                            <a:avLst/>
                          </a:prstGeom>
                          <a:noFill/>
                          <a:ln>
                            <a:noFill/>
                          </a:ln>
                        </pic:spPr>
                      </pic:pic>
                    </a:graphicData>
                  </a:graphic>
                </wp:inline>
              </w:drawing>
            </w:r>
          </w:p>
        </w:tc>
        <w:tc>
          <w:tcPr>
            <w:tcW w:w="4580" w:type="dxa"/>
          </w:tcPr>
          <w:p>
            <w:pPr>
              <w:pStyle w:val="17"/>
              <w:bidi w:val="0"/>
              <w:jc w:val="both"/>
            </w:pPr>
            <w:r>
              <w:drawing>
                <wp:inline distT="0" distB="0" distL="114300" distR="114300">
                  <wp:extent cx="2768600" cy="2258695"/>
                  <wp:effectExtent l="0" t="0" r="12700" b="825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35"/>
                          <a:stretch>
                            <a:fillRect/>
                          </a:stretch>
                        </pic:blipFill>
                        <pic:spPr>
                          <a:xfrm>
                            <a:off x="0" y="0"/>
                            <a:ext cx="2768600" cy="2258695"/>
                          </a:xfrm>
                          <a:prstGeom prst="rect">
                            <a:avLst/>
                          </a:prstGeom>
                          <a:noFill/>
                          <a:ln>
                            <a:noFill/>
                          </a:ln>
                        </pic:spPr>
                      </pic:pic>
                    </a:graphicData>
                  </a:graphic>
                </wp:inline>
              </w:drawing>
            </w:r>
          </w:p>
        </w:tc>
      </w:tr>
      <w:tr>
        <w:tblPrEx>
          <w:tblCellMar>
            <w:top w:w="0" w:type="dxa"/>
            <w:left w:w="108" w:type="dxa"/>
            <w:bottom w:w="0" w:type="dxa"/>
            <w:right w:w="108" w:type="dxa"/>
          </w:tblCellMar>
        </w:tblPrEx>
        <w:tc>
          <w:tcPr>
            <w:tcW w:w="4594" w:type="dxa"/>
          </w:tcPr>
          <w:p>
            <w:pPr>
              <w:pStyle w:val="17"/>
              <w:bidi w:val="0"/>
            </w:pPr>
            <w:r>
              <w:rPr>
                <w:rFonts w:hint="eastAsia"/>
              </w:rPr>
              <w:t>雨水井现状</w:t>
            </w:r>
          </w:p>
        </w:tc>
        <w:tc>
          <w:tcPr>
            <w:tcW w:w="4580" w:type="dxa"/>
          </w:tcPr>
          <w:p>
            <w:pPr>
              <w:pStyle w:val="17"/>
              <w:bidi w:val="0"/>
            </w:pPr>
            <w:r>
              <w:rPr>
                <w:rFonts w:hint="eastAsia"/>
              </w:rPr>
              <w:t>雨水口现状</w:t>
            </w:r>
          </w:p>
        </w:tc>
      </w:tr>
    </w:tbl>
    <w:p>
      <w:pPr>
        <w:pStyle w:val="7"/>
        <w:bidi w:val="0"/>
      </w:pPr>
      <w:r>
        <w:t>图</w:t>
      </w:r>
      <w:r>
        <w:rPr>
          <w:rFonts w:hint="eastAsia"/>
        </w:rPr>
        <w:t>4</w:t>
      </w:r>
      <w:r>
        <w:rPr>
          <w:rFonts w:hint="eastAsia"/>
          <w:lang w:val="en-US" w:eastAsia="zh-CN"/>
        </w:rPr>
        <w:t>.1</w:t>
      </w:r>
      <w:r>
        <w:t>-1</w:t>
      </w:r>
      <w:r>
        <w:rPr>
          <w:rFonts w:hint="eastAsia"/>
        </w:rPr>
        <w:t>水</w:t>
      </w:r>
      <w:r>
        <w:t>土保持工程措施照片</w:t>
      </w:r>
    </w:p>
    <w:p>
      <w:pPr>
        <w:pStyle w:val="4"/>
        <w:keepNext/>
        <w:keepLines/>
        <w:pageBreakBefore w:val="0"/>
        <w:widowControl w:val="0"/>
        <w:kinsoku/>
        <w:wordWrap/>
        <w:overflowPunct/>
        <w:topLinePunct w:val="0"/>
        <w:autoSpaceDE/>
        <w:autoSpaceDN/>
        <w:bidi w:val="0"/>
        <w:adjustRightInd/>
        <w:snapToGrid/>
        <w:spacing w:line="360" w:lineRule="auto"/>
        <w:textAlignment w:val="auto"/>
      </w:pPr>
      <w:bookmarkStart w:id="116" w:name="_Toc32580"/>
      <w:bookmarkStart w:id="117" w:name="_Toc4547"/>
      <w:bookmarkStart w:id="118" w:name="_Toc44318489"/>
      <w:r>
        <w:t>4.</w:t>
      </w:r>
      <w:r>
        <w:rPr>
          <w:rFonts w:hint="eastAsia"/>
          <w:lang w:eastAsia="zh-CN"/>
        </w:rPr>
        <w:t>2</w:t>
      </w:r>
      <w:r>
        <w:t xml:space="preserve"> 植物措施监测结果</w:t>
      </w:r>
      <w:bookmarkEnd w:id="116"/>
      <w:bookmarkEnd w:id="117"/>
      <w:bookmarkEnd w:id="118"/>
    </w:p>
    <w:p>
      <w:pPr>
        <w:bidi w:val="0"/>
        <w:rPr>
          <w:rFonts w:hint="default"/>
          <w:b/>
          <w:bCs/>
          <w:lang w:val="en-US" w:eastAsia="zh-CN"/>
        </w:rPr>
      </w:pPr>
      <w:r>
        <w:rPr>
          <w:rFonts w:hint="eastAsia"/>
          <w:b/>
          <w:bCs/>
          <w:lang w:val="en-US" w:eastAsia="zh-CN"/>
        </w:rPr>
        <w:t>3、绿化区</w:t>
      </w:r>
    </w:p>
    <w:p>
      <w:pPr>
        <w:bidi w:val="0"/>
        <w:rPr>
          <w:rFonts w:hint="eastAsia"/>
          <w:lang w:val="en-US" w:eastAsia="zh-CN"/>
        </w:rPr>
      </w:pPr>
      <w:r>
        <w:rPr>
          <w:rFonts w:hint="eastAsia"/>
          <w:lang w:val="en-US" w:eastAsia="zh-CN"/>
        </w:rPr>
        <w:t>植物措施：</w:t>
      </w:r>
      <w:r>
        <w:rPr>
          <w:szCs w:val="21"/>
        </w:rPr>
        <w:t>园林绿化面积</w:t>
      </w:r>
      <w:r>
        <w:rPr>
          <w:rFonts w:hint="eastAsia"/>
          <w:szCs w:val="21"/>
        </w:rPr>
        <w:t>3.22</w:t>
      </w:r>
      <w:r>
        <w:rPr>
          <w:szCs w:val="21"/>
        </w:rPr>
        <w:t>hm</w:t>
      </w:r>
      <w:r>
        <w:rPr>
          <w:szCs w:val="21"/>
          <w:vertAlign w:val="superscript"/>
        </w:rPr>
        <w:t>2</w:t>
      </w:r>
      <w:r>
        <w:rPr>
          <w:rFonts w:hint="eastAsia"/>
          <w:szCs w:val="21"/>
        </w:rPr>
        <w:t>，</w:t>
      </w:r>
      <w:r>
        <w:rPr>
          <w:szCs w:val="21"/>
        </w:rPr>
        <w:t>全面整地面积</w:t>
      </w:r>
      <w:r>
        <w:rPr>
          <w:rFonts w:hint="eastAsia"/>
          <w:szCs w:val="21"/>
        </w:rPr>
        <w:t>3.22</w:t>
      </w:r>
      <w:r>
        <w:rPr>
          <w:szCs w:val="21"/>
        </w:rPr>
        <w:t>hm</w:t>
      </w:r>
      <w:r>
        <w:rPr>
          <w:szCs w:val="21"/>
          <w:vertAlign w:val="superscript"/>
        </w:rPr>
        <w:t>2</w:t>
      </w:r>
      <w:r>
        <w:rPr>
          <w:szCs w:val="21"/>
        </w:rPr>
        <w:t>。</w:t>
      </w:r>
    </w:p>
    <w:p>
      <w:pPr>
        <w:bidi w:val="0"/>
        <w:rPr>
          <w:rFonts w:hint="default"/>
          <w:b/>
          <w:bCs/>
          <w:lang w:val="en-US" w:eastAsia="zh-CN"/>
        </w:rPr>
      </w:pPr>
      <w:r>
        <w:rPr>
          <w:rFonts w:hint="eastAsia"/>
          <w:b/>
          <w:bCs/>
          <w:lang w:val="en-US" w:eastAsia="zh-CN"/>
        </w:rPr>
        <w:t>4、预留用地区</w:t>
      </w:r>
    </w:p>
    <w:p>
      <w:pPr>
        <w:bidi w:val="0"/>
        <w:rPr>
          <w:rFonts w:hint="eastAsia" w:eastAsia="仿宋_GB2312"/>
          <w:lang w:val="en-US" w:eastAsia="zh-CN"/>
        </w:rPr>
      </w:pPr>
      <w:r>
        <w:rPr>
          <w:rFonts w:hint="eastAsia"/>
          <w:lang w:val="en-US" w:eastAsia="zh-CN"/>
        </w:rPr>
        <w:t>植物措施：</w:t>
      </w:r>
      <w:r>
        <w:rPr>
          <w:szCs w:val="21"/>
        </w:rPr>
        <w:t>全面整地面积</w:t>
      </w:r>
      <w:r>
        <w:rPr>
          <w:rFonts w:hint="eastAsia"/>
          <w:szCs w:val="21"/>
        </w:rPr>
        <w:t>2.54</w:t>
      </w:r>
      <w:r>
        <w:rPr>
          <w:szCs w:val="21"/>
        </w:rPr>
        <w:t>hm</w:t>
      </w:r>
      <w:r>
        <w:rPr>
          <w:szCs w:val="21"/>
          <w:vertAlign w:val="superscript"/>
        </w:rPr>
        <w:t>2</w:t>
      </w:r>
      <w:r>
        <w:rPr>
          <w:rFonts w:hint="eastAsia"/>
          <w:szCs w:val="21"/>
          <w:lang w:eastAsia="zh-CN"/>
        </w:rPr>
        <w:t>，</w:t>
      </w:r>
      <w:r>
        <w:rPr>
          <w:rFonts w:hint="eastAsia"/>
          <w:szCs w:val="21"/>
        </w:rPr>
        <w:t>撒播草籽</w:t>
      </w:r>
      <w:r>
        <w:rPr>
          <w:szCs w:val="21"/>
        </w:rPr>
        <w:t>面积</w:t>
      </w:r>
      <w:r>
        <w:rPr>
          <w:rFonts w:hint="eastAsia"/>
          <w:szCs w:val="21"/>
        </w:rPr>
        <w:t>2.54</w:t>
      </w:r>
      <w:r>
        <w:rPr>
          <w:szCs w:val="21"/>
        </w:rPr>
        <w:t>hm</w:t>
      </w:r>
      <w:r>
        <w:rPr>
          <w:szCs w:val="21"/>
          <w:vertAlign w:val="superscript"/>
        </w:rPr>
        <w:t>2</w:t>
      </w:r>
      <w:r>
        <w:rPr>
          <w:rFonts w:hint="eastAsia"/>
          <w:szCs w:val="21"/>
          <w:lang w:eastAsia="zh-CN"/>
        </w:rPr>
        <w:t>。</w:t>
      </w:r>
    </w:p>
    <w:p>
      <w:pPr>
        <w:pStyle w:val="7"/>
        <w:bidi w:val="0"/>
        <w:rPr>
          <w:rFonts w:hint="default"/>
          <w:lang w:val="en-US" w:eastAsia="zh-CN"/>
        </w:rPr>
      </w:pPr>
      <w:r>
        <w:t>表4.</w:t>
      </w:r>
      <w:r>
        <w:rPr>
          <w:rFonts w:hint="eastAsia"/>
          <w:lang w:val="en-US" w:eastAsia="zh-CN"/>
        </w:rPr>
        <w:t>1</w:t>
      </w:r>
      <w:r>
        <w:t xml:space="preserve">- </w:t>
      </w:r>
      <w:r>
        <w:rPr>
          <w:rFonts w:hint="eastAsia"/>
          <w:lang w:val="en-US" w:eastAsia="zh-CN"/>
        </w:rPr>
        <w:t>1</w:t>
      </w:r>
      <w:r>
        <w:t>实际完成的工程措施量表</w:t>
      </w:r>
    </w:p>
    <w:tbl>
      <w:tblPr>
        <w:tblStyle w:val="13"/>
        <w:tblW w:w="5090" w:type="pct"/>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47"/>
        <w:gridCol w:w="1645"/>
        <w:gridCol w:w="1054"/>
        <w:gridCol w:w="1209"/>
        <w:gridCol w:w="3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95" w:type="pct"/>
            <w:noWrap/>
            <w:vAlign w:val="center"/>
          </w:tcPr>
          <w:p>
            <w:pPr>
              <w:pStyle w:val="17"/>
              <w:bidi w:val="0"/>
              <w:rPr>
                <w:rFonts w:hint="eastAsia" w:eastAsia="仿宋_GB2312"/>
                <w:lang w:val="en-US" w:eastAsia="zh-CN"/>
              </w:rPr>
            </w:pPr>
            <w:r>
              <w:rPr>
                <w:rFonts w:hint="eastAsia"/>
                <w:lang w:val="en-US" w:eastAsia="zh-CN"/>
              </w:rPr>
              <w:t>分区</w:t>
            </w:r>
          </w:p>
        </w:tc>
        <w:tc>
          <w:tcPr>
            <w:tcW w:w="971" w:type="pct"/>
            <w:noWrap/>
            <w:vAlign w:val="center"/>
          </w:tcPr>
          <w:p>
            <w:pPr>
              <w:pStyle w:val="17"/>
              <w:bidi w:val="0"/>
            </w:pPr>
            <w:r>
              <w:t>措施</w:t>
            </w:r>
          </w:p>
        </w:tc>
        <w:tc>
          <w:tcPr>
            <w:tcW w:w="622" w:type="pct"/>
            <w:noWrap/>
            <w:vAlign w:val="center"/>
          </w:tcPr>
          <w:p>
            <w:pPr>
              <w:pStyle w:val="17"/>
              <w:bidi w:val="0"/>
            </w:pPr>
            <w:r>
              <w:t>单位</w:t>
            </w:r>
          </w:p>
        </w:tc>
        <w:tc>
          <w:tcPr>
            <w:tcW w:w="714" w:type="pct"/>
            <w:noWrap/>
            <w:vAlign w:val="center"/>
          </w:tcPr>
          <w:p>
            <w:pPr>
              <w:pStyle w:val="17"/>
              <w:bidi w:val="0"/>
            </w:pPr>
            <w:r>
              <w:t>实际工程量</w:t>
            </w:r>
          </w:p>
        </w:tc>
        <w:tc>
          <w:tcPr>
            <w:tcW w:w="1896" w:type="pct"/>
            <w:noWrap/>
            <w:vAlign w:val="center"/>
          </w:tcPr>
          <w:p>
            <w:pPr>
              <w:pStyle w:val="17"/>
              <w:bidi w:val="0"/>
            </w:pPr>
            <w:r>
              <w:rPr>
                <w:highlight w:val="none"/>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trPr>
        <w:tc>
          <w:tcPr>
            <w:tcW w:w="795" w:type="pct"/>
            <w:vMerge w:val="restart"/>
            <w:noWrap w:val="0"/>
            <w:vAlign w:val="center"/>
          </w:tcPr>
          <w:p>
            <w:pPr>
              <w:pStyle w:val="17"/>
              <w:bidi w:val="0"/>
              <w:rPr>
                <w:rFonts w:hint="default" w:eastAsia="仿宋_GB2312"/>
                <w:lang w:val="en-US" w:eastAsia="zh-CN"/>
              </w:rPr>
            </w:pPr>
            <w:r>
              <w:rPr>
                <w:rFonts w:hint="eastAsia"/>
                <w:lang w:val="en-US" w:eastAsia="zh-CN"/>
              </w:rPr>
              <w:t>绿化区</w:t>
            </w:r>
          </w:p>
        </w:tc>
        <w:tc>
          <w:tcPr>
            <w:tcW w:w="971" w:type="pct"/>
            <w:noWrap/>
            <w:vAlign w:val="center"/>
          </w:tcPr>
          <w:p>
            <w:pPr>
              <w:pStyle w:val="17"/>
              <w:bidi w:val="0"/>
            </w:pPr>
            <w:r>
              <w:rPr>
                <w:szCs w:val="21"/>
              </w:rPr>
              <w:t>园林绿化</w:t>
            </w:r>
          </w:p>
        </w:tc>
        <w:tc>
          <w:tcPr>
            <w:tcW w:w="622" w:type="pct"/>
            <w:noWrap/>
            <w:vAlign w:val="center"/>
          </w:tcPr>
          <w:p>
            <w:pPr>
              <w:pStyle w:val="17"/>
              <w:bidi w:val="0"/>
              <w:ind w:firstLine="0" w:firstLineChars="0"/>
              <w:rPr>
                <w:rFonts w:hint="eastAsia" w:eastAsia="仿宋_GB2312"/>
                <w:lang w:val="en-US" w:eastAsia="zh-CN"/>
              </w:rPr>
            </w:pPr>
            <w:r>
              <w:rPr>
                <w:rFonts w:hint="eastAsia"/>
                <w:lang w:val="en-US" w:eastAsia="zh-CN"/>
              </w:rPr>
              <w:t>h</w:t>
            </w:r>
            <w:r>
              <w:t>m</w:t>
            </w:r>
            <w:r>
              <w:rPr>
                <w:rFonts w:hint="eastAsia"/>
                <w:vertAlign w:val="superscript"/>
                <w:lang w:val="en-US" w:eastAsia="zh-CN"/>
              </w:rPr>
              <w:t>2</w:t>
            </w:r>
          </w:p>
        </w:tc>
        <w:tc>
          <w:tcPr>
            <w:tcW w:w="714" w:type="pct"/>
            <w:noWrap/>
            <w:vAlign w:val="center"/>
          </w:tcPr>
          <w:p>
            <w:pPr>
              <w:pStyle w:val="17"/>
              <w:bidi w:val="0"/>
              <w:ind w:firstLine="0" w:firstLineChars="0"/>
              <w:rPr>
                <w:rFonts w:hint="default" w:eastAsia="仿宋_GB2312"/>
                <w:lang w:val="en-US" w:eastAsia="zh-CN"/>
              </w:rPr>
            </w:pPr>
            <w:r>
              <w:rPr>
                <w:rFonts w:hint="eastAsia"/>
                <w:lang w:val="en-US" w:eastAsia="zh-CN"/>
              </w:rPr>
              <w:t>3.22</w:t>
            </w:r>
          </w:p>
        </w:tc>
        <w:tc>
          <w:tcPr>
            <w:tcW w:w="1896" w:type="pct"/>
            <w:noWrap/>
            <w:vAlign w:val="center"/>
          </w:tcPr>
          <w:p>
            <w:pPr>
              <w:pStyle w:val="17"/>
              <w:bidi w:val="0"/>
              <w:ind w:firstLine="0" w:firstLineChars="0"/>
              <w:rPr>
                <w:rFonts w:hint="default" w:ascii="Times New Roman" w:hAnsi="Times New Roman" w:eastAsia="仿宋_GB2312" w:cstheme="minorBidi"/>
                <w:sz w:val="21"/>
                <w:lang w:val="en-US" w:eastAsia="zh-CN"/>
              </w:rPr>
            </w:pPr>
            <w:r>
              <w:rPr>
                <w:rFonts w:hint="eastAsia"/>
                <w:lang w:val="en-US" w:eastAsia="zh-CN"/>
              </w:rPr>
              <w:t>2020年1月~2020年12月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trPr>
        <w:tc>
          <w:tcPr>
            <w:tcW w:w="795" w:type="pct"/>
            <w:vMerge w:val="continue"/>
            <w:noWrap w:val="0"/>
            <w:vAlign w:val="center"/>
          </w:tcPr>
          <w:p>
            <w:pPr>
              <w:pStyle w:val="17"/>
              <w:bidi w:val="0"/>
              <w:rPr>
                <w:rFonts w:hint="eastAsia"/>
                <w:lang w:val="en-US" w:eastAsia="zh-CN"/>
              </w:rPr>
            </w:pPr>
          </w:p>
        </w:tc>
        <w:tc>
          <w:tcPr>
            <w:tcW w:w="971" w:type="pct"/>
            <w:noWrap/>
            <w:vAlign w:val="center"/>
          </w:tcPr>
          <w:p>
            <w:pPr>
              <w:pStyle w:val="17"/>
              <w:bidi w:val="0"/>
              <w:rPr>
                <w:rFonts w:hint="eastAsia"/>
                <w:lang w:val="en-US" w:eastAsia="zh-CN"/>
              </w:rPr>
            </w:pPr>
            <w:r>
              <w:rPr>
                <w:szCs w:val="21"/>
              </w:rPr>
              <w:t>全面整地</w:t>
            </w:r>
          </w:p>
        </w:tc>
        <w:tc>
          <w:tcPr>
            <w:tcW w:w="1054" w:type="dxa"/>
            <w:noWrap/>
            <w:vAlign w:val="center"/>
          </w:tcPr>
          <w:p>
            <w:pPr>
              <w:pStyle w:val="17"/>
              <w:bidi w:val="0"/>
              <w:ind w:firstLine="0" w:firstLineChars="0"/>
              <w:rPr>
                <w:rFonts w:hint="eastAsia"/>
                <w:lang w:val="en-US" w:eastAsia="zh-CN"/>
              </w:rPr>
            </w:pPr>
            <w:r>
              <w:rPr>
                <w:rFonts w:hint="eastAsia"/>
                <w:lang w:val="en-US" w:eastAsia="zh-CN"/>
              </w:rPr>
              <w:t>h</w:t>
            </w:r>
            <w:r>
              <w:t>m</w:t>
            </w:r>
            <w:r>
              <w:rPr>
                <w:rFonts w:hint="eastAsia"/>
                <w:vertAlign w:val="superscript"/>
                <w:lang w:val="en-US" w:eastAsia="zh-CN"/>
              </w:rPr>
              <w:t>2</w:t>
            </w:r>
          </w:p>
        </w:tc>
        <w:tc>
          <w:tcPr>
            <w:tcW w:w="1209" w:type="dxa"/>
            <w:noWrap/>
            <w:vAlign w:val="center"/>
          </w:tcPr>
          <w:p>
            <w:pPr>
              <w:pStyle w:val="17"/>
              <w:bidi w:val="0"/>
              <w:ind w:firstLine="0" w:firstLineChars="0"/>
              <w:rPr>
                <w:rFonts w:hint="eastAsia"/>
                <w:lang w:val="en-US" w:eastAsia="zh-CN"/>
              </w:rPr>
            </w:pPr>
            <w:r>
              <w:rPr>
                <w:rFonts w:hint="eastAsia"/>
                <w:lang w:val="en-US" w:eastAsia="zh-CN"/>
              </w:rPr>
              <w:t>3.22</w:t>
            </w:r>
          </w:p>
        </w:tc>
        <w:tc>
          <w:tcPr>
            <w:tcW w:w="1896"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2019年7月~2019年12月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trPr>
        <w:tc>
          <w:tcPr>
            <w:tcW w:w="795" w:type="pct"/>
            <w:vMerge w:val="restart"/>
            <w:noWrap w:val="0"/>
            <w:vAlign w:val="center"/>
          </w:tcPr>
          <w:p>
            <w:pPr>
              <w:pStyle w:val="17"/>
              <w:bidi w:val="0"/>
              <w:rPr>
                <w:rFonts w:hint="default"/>
                <w:lang w:val="en-US" w:eastAsia="zh-CN"/>
              </w:rPr>
            </w:pPr>
            <w:r>
              <w:rPr>
                <w:rFonts w:hint="eastAsia"/>
                <w:lang w:val="en-US" w:eastAsia="zh-CN"/>
              </w:rPr>
              <w:t>预留用地区</w:t>
            </w:r>
          </w:p>
        </w:tc>
        <w:tc>
          <w:tcPr>
            <w:tcW w:w="971" w:type="pct"/>
            <w:noWrap/>
            <w:vAlign w:val="center"/>
          </w:tcPr>
          <w:p>
            <w:pPr>
              <w:pStyle w:val="17"/>
              <w:bidi w:val="0"/>
              <w:rPr>
                <w:rFonts w:hint="eastAsia"/>
                <w:lang w:val="en-US" w:eastAsia="zh-CN"/>
              </w:rPr>
            </w:pPr>
            <w:r>
              <w:rPr>
                <w:szCs w:val="21"/>
              </w:rPr>
              <w:t>全面整地</w:t>
            </w:r>
          </w:p>
        </w:tc>
        <w:tc>
          <w:tcPr>
            <w:tcW w:w="1054" w:type="dxa"/>
            <w:noWrap/>
            <w:vAlign w:val="center"/>
          </w:tcPr>
          <w:p>
            <w:pPr>
              <w:pStyle w:val="17"/>
              <w:bidi w:val="0"/>
              <w:ind w:firstLine="0" w:firstLineChars="0"/>
              <w:rPr>
                <w:rFonts w:hint="eastAsia"/>
                <w:lang w:val="en-US" w:eastAsia="zh-CN"/>
              </w:rPr>
            </w:pPr>
            <w:r>
              <w:rPr>
                <w:rFonts w:hint="eastAsia"/>
                <w:lang w:val="en-US" w:eastAsia="zh-CN"/>
              </w:rPr>
              <w:t>h</w:t>
            </w:r>
            <w:r>
              <w:t>m</w:t>
            </w:r>
            <w:r>
              <w:rPr>
                <w:rFonts w:hint="eastAsia"/>
                <w:vertAlign w:val="superscript"/>
                <w:lang w:val="en-US" w:eastAsia="zh-CN"/>
              </w:rPr>
              <w:t>2</w:t>
            </w:r>
          </w:p>
        </w:tc>
        <w:tc>
          <w:tcPr>
            <w:tcW w:w="714" w:type="pct"/>
            <w:noWrap/>
            <w:vAlign w:val="center"/>
          </w:tcPr>
          <w:p>
            <w:pPr>
              <w:pStyle w:val="17"/>
              <w:bidi w:val="0"/>
              <w:ind w:firstLine="0" w:firstLineChars="0"/>
              <w:rPr>
                <w:rFonts w:hint="default"/>
                <w:lang w:val="en-US" w:eastAsia="zh-CN"/>
              </w:rPr>
            </w:pPr>
            <w:r>
              <w:rPr>
                <w:rFonts w:hint="eastAsia"/>
                <w:lang w:val="en-US" w:eastAsia="zh-CN"/>
              </w:rPr>
              <w:t>2.54</w:t>
            </w:r>
          </w:p>
        </w:tc>
        <w:tc>
          <w:tcPr>
            <w:tcW w:w="1896"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2019年7月~2019年12月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trPr>
        <w:tc>
          <w:tcPr>
            <w:tcW w:w="795" w:type="pct"/>
            <w:vMerge w:val="continue"/>
            <w:noWrap w:val="0"/>
            <w:vAlign w:val="center"/>
          </w:tcPr>
          <w:p>
            <w:pPr>
              <w:pStyle w:val="17"/>
              <w:bidi w:val="0"/>
              <w:rPr>
                <w:rFonts w:hint="eastAsia"/>
                <w:lang w:val="en-US" w:eastAsia="zh-CN"/>
              </w:rPr>
            </w:pPr>
          </w:p>
        </w:tc>
        <w:tc>
          <w:tcPr>
            <w:tcW w:w="971" w:type="pct"/>
            <w:noWrap/>
            <w:vAlign w:val="center"/>
          </w:tcPr>
          <w:p>
            <w:pPr>
              <w:pStyle w:val="17"/>
              <w:bidi w:val="0"/>
              <w:rPr>
                <w:rFonts w:hint="eastAsia"/>
                <w:lang w:val="en-US" w:eastAsia="zh-CN"/>
              </w:rPr>
            </w:pPr>
            <w:r>
              <w:rPr>
                <w:rFonts w:hint="eastAsia"/>
                <w:szCs w:val="21"/>
              </w:rPr>
              <w:t>撒播草籽</w:t>
            </w:r>
          </w:p>
        </w:tc>
        <w:tc>
          <w:tcPr>
            <w:tcW w:w="1054" w:type="dxa"/>
            <w:noWrap/>
            <w:vAlign w:val="center"/>
          </w:tcPr>
          <w:p>
            <w:pPr>
              <w:pStyle w:val="17"/>
              <w:bidi w:val="0"/>
              <w:ind w:firstLine="0" w:firstLineChars="0"/>
              <w:rPr>
                <w:rFonts w:hint="eastAsia"/>
                <w:lang w:val="en-US" w:eastAsia="zh-CN"/>
              </w:rPr>
            </w:pPr>
            <w:r>
              <w:rPr>
                <w:rFonts w:hint="eastAsia"/>
                <w:lang w:val="en-US" w:eastAsia="zh-CN"/>
              </w:rPr>
              <w:t>h</w:t>
            </w:r>
            <w:r>
              <w:t>m</w:t>
            </w:r>
            <w:r>
              <w:rPr>
                <w:rFonts w:hint="eastAsia"/>
                <w:vertAlign w:val="superscript"/>
                <w:lang w:val="en-US" w:eastAsia="zh-CN"/>
              </w:rPr>
              <w:t>2</w:t>
            </w:r>
          </w:p>
        </w:tc>
        <w:tc>
          <w:tcPr>
            <w:tcW w:w="714" w:type="pct"/>
            <w:noWrap/>
            <w:vAlign w:val="center"/>
          </w:tcPr>
          <w:p>
            <w:pPr>
              <w:pStyle w:val="17"/>
              <w:bidi w:val="0"/>
              <w:ind w:firstLine="0" w:firstLineChars="0"/>
              <w:rPr>
                <w:rFonts w:hint="default"/>
                <w:lang w:val="en-US" w:eastAsia="zh-CN"/>
              </w:rPr>
            </w:pPr>
            <w:r>
              <w:rPr>
                <w:rFonts w:hint="eastAsia"/>
                <w:lang w:val="en-US" w:eastAsia="zh-CN"/>
              </w:rPr>
              <w:t>2.54</w:t>
            </w:r>
          </w:p>
        </w:tc>
        <w:tc>
          <w:tcPr>
            <w:tcW w:w="1896"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2020年1月~2020年6月</w:t>
            </w:r>
          </w:p>
        </w:tc>
      </w:tr>
    </w:tbl>
    <w:p>
      <w:pPr>
        <w:pStyle w:val="9"/>
        <w:ind w:left="0" w:leftChars="0" w:firstLine="0" w:firstLineChars="0"/>
      </w:pPr>
      <w:r>
        <w:drawing>
          <wp:anchor distT="0" distB="0" distL="114300" distR="114300" simplePos="0" relativeHeight="251673600" behindDoc="0" locked="0" layoutInCell="1" allowOverlap="1">
            <wp:simplePos x="0" y="0"/>
            <wp:positionH relativeFrom="column">
              <wp:posOffset>2905760</wp:posOffset>
            </wp:positionH>
            <wp:positionV relativeFrom="paragraph">
              <wp:posOffset>365760</wp:posOffset>
            </wp:positionV>
            <wp:extent cx="2767330" cy="2138680"/>
            <wp:effectExtent l="0" t="0" r="13970" b="13970"/>
            <wp:wrapNone/>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36"/>
                    <a:stretch>
                      <a:fillRect/>
                    </a:stretch>
                  </pic:blipFill>
                  <pic:spPr>
                    <a:xfrm>
                      <a:off x="0" y="0"/>
                      <a:ext cx="2767330" cy="2138680"/>
                    </a:xfrm>
                    <a:prstGeom prst="rect">
                      <a:avLst/>
                    </a:prstGeom>
                    <a:noFill/>
                    <a:ln>
                      <a:noFill/>
                    </a:ln>
                  </pic:spPr>
                </pic:pic>
              </a:graphicData>
            </a:graphic>
          </wp:anchor>
        </w:drawing>
      </w:r>
    </w:p>
    <w:tbl>
      <w:tblPr>
        <w:tblStyle w:val="13"/>
        <w:tblW w:w="9174" w:type="dxa"/>
        <w:tblInd w:w="0" w:type="dxa"/>
        <w:tblLayout w:type="fixed"/>
        <w:tblCellMar>
          <w:top w:w="0" w:type="dxa"/>
          <w:left w:w="108" w:type="dxa"/>
          <w:bottom w:w="0" w:type="dxa"/>
          <w:right w:w="108" w:type="dxa"/>
        </w:tblCellMar>
      </w:tblPr>
      <w:tblGrid>
        <w:gridCol w:w="4594"/>
        <w:gridCol w:w="4580"/>
      </w:tblGrid>
      <w:tr>
        <w:tblPrEx>
          <w:tblCellMar>
            <w:top w:w="0" w:type="dxa"/>
            <w:left w:w="108" w:type="dxa"/>
            <w:bottom w:w="0" w:type="dxa"/>
            <w:right w:w="108" w:type="dxa"/>
          </w:tblCellMar>
        </w:tblPrEx>
        <w:trPr>
          <w:trHeight w:val="3308" w:hRule="atLeast"/>
        </w:trPr>
        <w:tc>
          <w:tcPr>
            <w:tcW w:w="4594" w:type="dxa"/>
          </w:tcPr>
          <w:p>
            <w:pPr>
              <w:ind w:left="0" w:leftChars="0" w:firstLine="0" w:firstLineChars="0"/>
              <w:rPr>
                <w:rFonts w:ascii="仿宋_GB2312" w:hAnsi="Times New Roman" w:eastAsiaTheme="minorEastAsia"/>
                <w:bCs/>
                <w:sz w:val="28"/>
              </w:rPr>
            </w:pPr>
            <w:r>
              <w:drawing>
                <wp:anchor distT="0" distB="0" distL="114300" distR="114300" simplePos="0" relativeHeight="251672576" behindDoc="0" locked="0" layoutInCell="1" allowOverlap="1">
                  <wp:simplePos x="0" y="0"/>
                  <wp:positionH relativeFrom="column">
                    <wp:posOffset>22860</wp:posOffset>
                  </wp:positionH>
                  <wp:positionV relativeFrom="paragraph">
                    <wp:posOffset>1905</wp:posOffset>
                  </wp:positionV>
                  <wp:extent cx="2776855" cy="2081530"/>
                  <wp:effectExtent l="0" t="0" r="4445" b="13970"/>
                  <wp:wrapNone/>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37"/>
                          <a:stretch>
                            <a:fillRect/>
                          </a:stretch>
                        </pic:blipFill>
                        <pic:spPr>
                          <a:xfrm>
                            <a:off x="0" y="0"/>
                            <a:ext cx="2776855" cy="2081530"/>
                          </a:xfrm>
                          <a:prstGeom prst="rect">
                            <a:avLst/>
                          </a:prstGeom>
                          <a:noFill/>
                          <a:ln>
                            <a:noFill/>
                          </a:ln>
                        </pic:spPr>
                      </pic:pic>
                    </a:graphicData>
                  </a:graphic>
                </wp:anchor>
              </w:drawing>
            </w:r>
            <w:r>
              <w:rPr>
                <w:rFonts w:ascii="Times New Roman" w:hAnsi="Times New Roman" w:eastAsia="Times New Roman"/>
                <w:snapToGrid w:val="0"/>
                <w:w w:val="0"/>
                <w:kern w:val="0"/>
                <w:sz w:val="0"/>
                <w:szCs w:val="0"/>
                <w:u w:color="000000"/>
                <w:shd w:val="clear" w:color="000000" w:fill="000000"/>
                <w:lang w:val="zh-CN" w:eastAsia="zh-CN" w:bidi="zh-CN"/>
              </w:rPr>
              <w:t xml:space="preserve"> </w:t>
            </w:r>
          </w:p>
        </w:tc>
        <w:tc>
          <w:tcPr>
            <w:tcW w:w="4580" w:type="dxa"/>
          </w:tcPr>
          <w:p>
            <w:pPr>
              <w:spacing w:line="360" w:lineRule="auto"/>
              <w:ind w:left="0" w:leftChars="0" w:firstLine="0" w:firstLineChars="0"/>
              <w:rPr>
                <w:rFonts w:ascii="仿宋_GB2312" w:hAnsi="Times New Roman" w:eastAsiaTheme="minorEastAsia"/>
                <w:bCs/>
                <w:sz w:val="28"/>
              </w:rPr>
            </w:pPr>
            <w:r>
              <w:rPr>
                <w:rFonts w:ascii="Times New Roman" w:hAnsi="Times New Roman" w:eastAsia="Times New Roman"/>
                <w:snapToGrid w:val="0"/>
                <w:w w:val="0"/>
                <w:kern w:val="0"/>
                <w:sz w:val="0"/>
                <w:szCs w:val="0"/>
                <w:u w:color="000000"/>
                <w:shd w:val="clear" w:color="000000" w:fill="000000"/>
                <w:lang w:val="zh-CN" w:eastAsia="zh-CN" w:bidi="zh-CN"/>
              </w:rPr>
              <w:t xml:space="preserve"> </w:t>
            </w:r>
          </w:p>
        </w:tc>
      </w:tr>
      <w:tr>
        <w:tblPrEx>
          <w:tblCellMar>
            <w:top w:w="0" w:type="dxa"/>
            <w:left w:w="108" w:type="dxa"/>
            <w:bottom w:w="0" w:type="dxa"/>
            <w:right w:w="108" w:type="dxa"/>
          </w:tblCellMar>
        </w:tblPrEx>
        <w:trPr>
          <w:trHeight w:val="283" w:hRule="atLeast"/>
        </w:trPr>
        <w:tc>
          <w:tcPr>
            <w:tcW w:w="4594" w:type="dxa"/>
          </w:tcPr>
          <w:p>
            <w:pPr>
              <w:jc w:val="center"/>
              <w:rPr>
                <w:rFonts w:ascii="仿宋_GB2312" w:hAnsi="Times New Roman" w:eastAsia="仿宋_GB2312"/>
                <w:bCs/>
                <w:sz w:val="24"/>
              </w:rPr>
            </w:pPr>
            <w:r>
              <w:rPr>
                <w:rFonts w:hint="eastAsia" w:ascii="仿宋_GB2312" w:hAnsi="Times New Roman" w:eastAsia="仿宋_GB2312"/>
                <w:bCs/>
                <w:sz w:val="24"/>
              </w:rPr>
              <w:t>建筑旁绿地</w:t>
            </w:r>
          </w:p>
        </w:tc>
        <w:tc>
          <w:tcPr>
            <w:tcW w:w="4580" w:type="dxa"/>
          </w:tcPr>
          <w:p>
            <w:pPr>
              <w:jc w:val="center"/>
              <w:rPr>
                <w:rFonts w:ascii="仿宋_GB2312" w:hAnsi="Times New Roman" w:eastAsia="仿宋_GB2312"/>
                <w:bCs/>
                <w:sz w:val="24"/>
              </w:rPr>
            </w:pPr>
            <w:r>
              <w:rPr>
                <w:rFonts w:hint="eastAsia" w:ascii="仿宋_GB2312"/>
                <w:bCs/>
                <w:sz w:val="24"/>
                <w:lang w:val="en-US" w:eastAsia="zh-CN"/>
              </w:rPr>
              <w:t>道路</w:t>
            </w:r>
            <w:r>
              <w:rPr>
                <w:rFonts w:hint="eastAsia" w:ascii="仿宋_GB2312" w:hAnsi="Times New Roman" w:eastAsia="仿宋_GB2312"/>
                <w:bCs/>
                <w:sz w:val="24"/>
              </w:rPr>
              <w:t>旁绿地</w:t>
            </w:r>
          </w:p>
        </w:tc>
      </w:tr>
    </w:tbl>
    <w:p>
      <w:pPr>
        <w:pStyle w:val="7"/>
        <w:bidi w:val="0"/>
      </w:pPr>
      <w:r>
        <w:t>图</w:t>
      </w:r>
      <w:r>
        <w:rPr>
          <w:rFonts w:hint="eastAsia"/>
        </w:rPr>
        <w:t>4</w:t>
      </w:r>
      <w:r>
        <w:rPr>
          <w:rFonts w:hint="eastAsia"/>
          <w:lang w:val="en-US" w:eastAsia="zh-CN"/>
        </w:rPr>
        <w:t>.2</w:t>
      </w:r>
      <w:r>
        <w:t>-1</w:t>
      </w:r>
      <w:r>
        <w:rPr>
          <w:rFonts w:hint="eastAsia"/>
        </w:rPr>
        <w:t>水</w:t>
      </w:r>
      <w:r>
        <w:t>土保持</w:t>
      </w:r>
      <w:r>
        <w:rPr>
          <w:rFonts w:hint="eastAsia"/>
          <w:lang w:val="en-US" w:eastAsia="zh-CN"/>
        </w:rPr>
        <w:t>植物</w:t>
      </w:r>
      <w:r>
        <w:t>措施照片</w:t>
      </w:r>
    </w:p>
    <w:p>
      <w:pPr>
        <w:pStyle w:val="4"/>
        <w:bidi w:val="0"/>
      </w:pPr>
      <w:bookmarkStart w:id="119" w:name="_Toc11623"/>
      <w:bookmarkStart w:id="120" w:name="_Toc44318490"/>
      <w:bookmarkStart w:id="121" w:name="_Toc19103"/>
      <w:r>
        <w:t>4.</w:t>
      </w:r>
      <w:r>
        <w:rPr>
          <w:rFonts w:hint="eastAsia"/>
          <w:lang w:eastAsia="zh-CN"/>
        </w:rPr>
        <w:t>3</w:t>
      </w:r>
      <w:r>
        <w:t xml:space="preserve"> 临时措施监测结果</w:t>
      </w:r>
      <w:bookmarkEnd w:id="119"/>
      <w:bookmarkEnd w:id="120"/>
      <w:bookmarkEnd w:id="121"/>
    </w:p>
    <w:p>
      <w:pPr>
        <w:rPr>
          <w:rFonts w:hint="eastAsia"/>
          <w:lang w:val="en-US" w:eastAsia="zh-CN"/>
        </w:rPr>
      </w:pPr>
      <w:r>
        <w:rPr>
          <w:rFonts w:hint="eastAsia"/>
          <w:lang w:val="en-US" w:eastAsia="zh-CN"/>
        </w:rPr>
        <w:t>本项目已经建设完成，水土保持监测进场处于自然恢复期，根据查阅监理单位及施工单位资料都统计得出施工期水土保持临时措施量如下：</w:t>
      </w:r>
    </w:p>
    <w:p>
      <w:pPr>
        <w:pStyle w:val="7"/>
        <w:bidi w:val="0"/>
        <w:rPr>
          <w:rFonts w:hint="eastAsia"/>
          <w:lang w:val="en-US" w:eastAsia="zh-CN"/>
        </w:rPr>
      </w:pPr>
      <w:r>
        <w:t>表4.</w:t>
      </w:r>
      <w:r>
        <w:rPr>
          <w:rFonts w:hint="eastAsia"/>
          <w:lang w:val="en-US" w:eastAsia="zh-CN"/>
        </w:rPr>
        <w:t>3</w:t>
      </w:r>
      <w:r>
        <w:t xml:space="preserve">- </w:t>
      </w:r>
      <w:r>
        <w:rPr>
          <w:rFonts w:hint="eastAsia"/>
          <w:lang w:val="en-US" w:eastAsia="zh-CN"/>
        </w:rPr>
        <w:t>1</w:t>
      </w:r>
      <w:r>
        <w:t>实际完成的工程措施量表</w:t>
      </w:r>
    </w:p>
    <w:tbl>
      <w:tblPr>
        <w:tblStyle w:val="13"/>
        <w:tblW w:w="5155" w:type="pct"/>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55"/>
        <w:gridCol w:w="1592"/>
        <w:gridCol w:w="988"/>
        <w:gridCol w:w="1153"/>
        <w:gridCol w:w="3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48" w:type="pct"/>
            <w:noWrap/>
            <w:vAlign w:val="center"/>
          </w:tcPr>
          <w:p>
            <w:pPr>
              <w:pStyle w:val="17"/>
              <w:bidi w:val="0"/>
              <w:rPr>
                <w:rFonts w:hint="eastAsia" w:eastAsia="仿宋_GB2312"/>
                <w:lang w:val="en-US" w:eastAsia="zh-CN"/>
              </w:rPr>
            </w:pPr>
            <w:r>
              <w:rPr>
                <w:rFonts w:hint="eastAsia"/>
                <w:lang w:val="en-US" w:eastAsia="zh-CN"/>
              </w:rPr>
              <w:t>分区</w:t>
            </w:r>
          </w:p>
        </w:tc>
        <w:tc>
          <w:tcPr>
            <w:tcW w:w="928" w:type="pct"/>
            <w:noWrap/>
            <w:vAlign w:val="center"/>
          </w:tcPr>
          <w:p>
            <w:pPr>
              <w:pStyle w:val="17"/>
              <w:bidi w:val="0"/>
            </w:pPr>
            <w:r>
              <w:t>措施</w:t>
            </w:r>
          </w:p>
        </w:tc>
        <w:tc>
          <w:tcPr>
            <w:tcW w:w="576" w:type="pct"/>
            <w:noWrap/>
            <w:vAlign w:val="center"/>
          </w:tcPr>
          <w:p>
            <w:pPr>
              <w:pStyle w:val="17"/>
              <w:bidi w:val="0"/>
            </w:pPr>
            <w:r>
              <w:t>单位</w:t>
            </w:r>
          </w:p>
        </w:tc>
        <w:tc>
          <w:tcPr>
            <w:tcW w:w="672" w:type="pct"/>
            <w:noWrap/>
            <w:vAlign w:val="center"/>
          </w:tcPr>
          <w:p>
            <w:pPr>
              <w:pStyle w:val="17"/>
              <w:bidi w:val="0"/>
            </w:pPr>
            <w:r>
              <w:t>实际工程量</w:t>
            </w:r>
          </w:p>
        </w:tc>
        <w:tc>
          <w:tcPr>
            <w:tcW w:w="1973" w:type="pct"/>
            <w:noWrap/>
            <w:vAlign w:val="center"/>
          </w:tcPr>
          <w:p>
            <w:pPr>
              <w:pStyle w:val="17"/>
              <w:bidi w:val="0"/>
            </w:pPr>
            <w:r>
              <w:rPr>
                <w:highlight w:val="none"/>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48" w:type="pct"/>
            <w:vMerge w:val="restart"/>
            <w:noWrap/>
            <w:vAlign w:val="center"/>
          </w:tcPr>
          <w:p>
            <w:pPr>
              <w:pStyle w:val="17"/>
              <w:bidi w:val="0"/>
              <w:rPr>
                <w:rFonts w:hint="eastAsia"/>
                <w:lang w:val="en-US" w:eastAsia="zh-CN"/>
              </w:rPr>
            </w:pPr>
            <w:r>
              <w:rPr>
                <w:rFonts w:hint="eastAsia"/>
                <w:lang w:val="en-US" w:eastAsia="zh-CN"/>
              </w:rPr>
              <w:t>建筑物</w:t>
            </w:r>
            <w:r>
              <w:rPr>
                <w:lang w:val="en-US" w:eastAsia="zh-CN"/>
              </w:rPr>
              <w:t>区</w:t>
            </w:r>
          </w:p>
        </w:tc>
        <w:tc>
          <w:tcPr>
            <w:tcW w:w="928" w:type="pct"/>
            <w:noWrap/>
            <w:vAlign w:val="center"/>
          </w:tcPr>
          <w:p>
            <w:pPr>
              <w:pStyle w:val="17"/>
              <w:bidi w:val="0"/>
              <w:ind w:firstLine="0" w:firstLineChars="0"/>
              <w:rPr>
                <w:rFonts w:hint="default" w:ascii="Times New Roman" w:hAnsi="Times New Roman" w:eastAsia="仿宋_GB2312" w:cstheme="minorBidi"/>
                <w:sz w:val="21"/>
                <w:lang w:val="en-US"/>
              </w:rPr>
            </w:pPr>
            <w:r>
              <w:rPr>
                <w:rFonts w:hint="eastAsia"/>
                <w:lang w:val="en-US" w:eastAsia="zh-CN"/>
              </w:rPr>
              <w:t>基坑排水工程</w:t>
            </w:r>
          </w:p>
        </w:tc>
        <w:tc>
          <w:tcPr>
            <w:tcW w:w="576" w:type="pct"/>
            <w:noWrap/>
            <w:vAlign w:val="center"/>
          </w:tcPr>
          <w:p>
            <w:pPr>
              <w:pStyle w:val="17"/>
              <w:bidi w:val="0"/>
              <w:ind w:firstLine="0" w:firstLineChars="0"/>
              <w:rPr>
                <w:rFonts w:hint="default" w:ascii="Times New Roman" w:hAnsi="Times New Roman" w:eastAsia="仿宋_GB2312" w:cstheme="minorBidi"/>
                <w:sz w:val="21"/>
              </w:rPr>
            </w:pPr>
            <w:r>
              <w:rPr>
                <w:rFonts w:hint="default"/>
                <w:lang w:val="en-US" w:eastAsia="zh-CN"/>
              </w:rPr>
              <w:t>m</w:t>
            </w:r>
          </w:p>
        </w:tc>
        <w:tc>
          <w:tcPr>
            <w:tcW w:w="672" w:type="pct"/>
            <w:noWrap/>
            <w:vAlign w:val="center"/>
          </w:tcPr>
          <w:p>
            <w:pPr>
              <w:pStyle w:val="17"/>
              <w:bidi w:val="0"/>
              <w:ind w:firstLine="0" w:firstLineChars="0"/>
              <w:rPr>
                <w:rFonts w:hint="default" w:ascii="Times New Roman" w:hAnsi="Times New Roman" w:eastAsia="仿宋_GB2312" w:cstheme="minorBidi"/>
                <w:sz w:val="21"/>
                <w:lang w:val="en-US"/>
              </w:rPr>
            </w:pPr>
            <w:r>
              <w:rPr>
                <w:rFonts w:hint="default"/>
                <w:lang w:val="en-US" w:eastAsia="zh-CN"/>
              </w:rPr>
              <w:t>1</w:t>
            </w:r>
            <w:r>
              <w:rPr>
                <w:rFonts w:hint="eastAsia"/>
                <w:lang w:val="en-US" w:eastAsia="zh-CN"/>
              </w:rPr>
              <w:t>600</w:t>
            </w:r>
          </w:p>
        </w:tc>
        <w:tc>
          <w:tcPr>
            <w:tcW w:w="1973" w:type="pct"/>
            <w:noWrap/>
            <w:vAlign w:val="center"/>
          </w:tcPr>
          <w:p>
            <w:pPr>
              <w:pStyle w:val="17"/>
              <w:bidi w:val="0"/>
              <w:ind w:firstLine="0" w:firstLineChars="0"/>
              <w:rPr>
                <w:rFonts w:hint="default" w:ascii="Times New Roman" w:hAnsi="Times New Roman" w:eastAsia="仿宋_GB2312" w:cstheme="minorBidi"/>
                <w:sz w:val="21"/>
                <w:szCs w:val="21"/>
                <w:lang w:val="en-US" w:eastAsia="zh-CN"/>
              </w:rPr>
            </w:pPr>
            <w:r>
              <w:rPr>
                <w:rFonts w:hint="eastAsia"/>
                <w:sz w:val="21"/>
                <w:szCs w:val="21"/>
                <w:lang w:val="en-US" w:eastAsia="zh-CN"/>
              </w:rPr>
              <w:t>2016年10月~2018年10月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48" w:type="pct"/>
            <w:vMerge w:val="continue"/>
            <w:noWrap/>
            <w:vAlign w:val="center"/>
          </w:tcPr>
          <w:p>
            <w:pPr>
              <w:pStyle w:val="17"/>
              <w:bidi w:val="0"/>
              <w:rPr>
                <w:rFonts w:hint="eastAsia"/>
                <w:lang w:val="en-US" w:eastAsia="zh-CN"/>
              </w:rPr>
            </w:pPr>
          </w:p>
        </w:tc>
        <w:tc>
          <w:tcPr>
            <w:tcW w:w="928" w:type="pct"/>
            <w:noWrap/>
            <w:vAlign w:val="center"/>
          </w:tcPr>
          <w:p>
            <w:pPr>
              <w:pStyle w:val="17"/>
              <w:bidi w:val="0"/>
              <w:ind w:firstLine="0" w:firstLineChars="0"/>
              <w:rPr>
                <w:rFonts w:hint="default" w:ascii="Times New Roman" w:hAnsi="Times New Roman" w:eastAsia="仿宋_GB2312" w:cstheme="minorBidi"/>
                <w:sz w:val="21"/>
              </w:rPr>
            </w:pPr>
            <w:r>
              <w:rPr>
                <w:rFonts w:hint="eastAsia"/>
                <w:lang w:val="en-US" w:eastAsia="zh-CN"/>
              </w:rPr>
              <w:t>临时排水沟</w:t>
            </w:r>
          </w:p>
        </w:tc>
        <w:tc>
          <w:tcPr>
            <w:tcW w:w="576" w:type="pct"/>
            <w:noWrap/>
            <w:vAlign w:val="center"/>
          </w:tcPr>
          <w:p>
            <w:pPr>
              <w:pStyle w:val="17"/>
              <w:bidi w:val="0"/>
              <w:ind w:firstLine="0" w:firstLineChars="0"/>
              <w:rPr>
                <w:rFonts w:hint="default" w:ascii="Times New Roman" w:hAnsi="Times New Roman" w:eastAsia="仿宋_GB2312" w:cstheme="minorBidi"/>
                <w:sz w:val="21"/>
              </w:rPr>
            </w:pPr>
            <w:r>
              <w:rPr>
                <w:rFonts w:hint="default"/>
                <w:lang w:val="en-US" w:eastAsia="zh-CN"/>
              </w:rPr>
              <w:t>m</w:t>
            </w:r>
          </w:p>
        </w:tc>
        <w:tc>
          <w:tcPr>
            <w:tcW w:w="672" w:type="pct"/>
            <w:noWrap/>
            <w:vAlign w:val="center"/>
          </w:tcPr>
          <w:p>
            <w:pPr>
              <w:pStyle w:val="17"/>
              <w:bidi w:val="0"/>
              <w:ind w:firstLine="0" w:firstLineChars="0"/>
              <w:rPr>
                <w:rFonts w:hint="default" w:ascii="Times New Roman" w:hAnsi="Times New Roman" w:eastAsia="仿宋_GB2312" w:cstheme="minorBidi"/>
                <w:sz w:val="21"/>
                <w:lang w:val="en-US"/>
              </w:rPr>
            </w:pPr>
            <w:r>
              <w:rPr>
                <w:rFonts w:hint="eastAsia"/>
                <w:lang w:val="en-US" w:eastAsia="zh-CN"/>
              </w:rPr>
              <w:t>1560</w:t>
            </w:r>
          </w:p>
        </w:tc>
        <w:tc>
          <w:tcPr>
            <w:tcW w:w="1973" w:type="pct"/>
            <w:noWrap/>
            <w:vAlign w:val="center"/>
          </w:tcPr>
          <w:p>
            <w:pPr>
              <w:bidi w:val="0"/>
              <w:ind w:firstLine="420" w:firstLineChars="200"/>
              <w:rPr>
                <w:rFonts w:hint="default" w:ascii="Times New Roman" w:hAnsi="Times New Roman" w:eastAsia="仿宋_GB2312" w:cstheme="minorBidi"/>
                <w:sz w:val="21"/>
                <w:szCs w:val="21"/>
                <w:lang w:val="en-US" w:eastAsia="zh-CN"/>
              </w:rPr>
            </w:pPr>
            <w:r>
              <w:rPr>
                <w:rFonts w:hint="eastAsia"/>
                <w:sz w:val="21"/>
                <w:szCs w:val="21"/>
                <w:lang w:val="en-US" w:eastAsia="zh-CN"/>
              </w:rPr>
              <w:t>2016年10月~2018年10月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48" w:type="pct"/>
            <w:vMerge w:val="continue"/>
            <w:noWrap/>
            <w:vAlign w:val="center"/>
          </w:tcPr>
          <w:p>
            <w:pPr>
              <w:pStyle w:val="17"/>
              <w:bidi w:val="0"/>
              <w:rPr>
                <w:rFonts w:hint="eastAsia"/>
                <w:lang w:val="en-US" w:eastAsia="zh-CN"/>
              </w:rPr>
            </w:pPr>
          </w:p>
        </w:tc>
        <w:tc>
          <w:tcPr>
            <w:tcW w:w="928" w:type="pct"/>
            <w:noWrap/>
            <w:vAlign w:val="center"/>
          </w:tcPr>
          <w:p>
            <w:pPr>
              <w:pStyle w:val="17"/>
              <w:bidi w:val="0"/>
              <w:ind w:firstLine="0" w:firstLineChars="0"/>
              <w:rPr>
                <w:rFonts w:hint="default" w:ascii="Times New Roman" w:hAnsi="Times New Roman" w:eastAsia="仿宋_GB2312" w:cstheme="minorBidi"/>
                <w:sz w:val="21"/>
                <w:lang w:val="en-US"/>
              </w:rPr>
            </w:pPr>
            <w:r>
              <w:rPr>
                <w:rFonts w:hint="eastAsia"/>
                <w:lang w:val="en-US" w:eastAsia="zh-CN"/>
              </w:rPr>
              <w:t>临时沉沙池</w:t>
            </w:r>
          </w:p>
        </w:tc>
        <w:tc>
          <w:tcPr>
            <w:tcW w:w="576" w:type="pct"/>
            <w:noWrap/>
            <w:vAlign w:val="center"/>
          </w:tcPr>
          <w:p>
            <w:pPr>
              <w:pStyle w:val="17"/>
              <w:bidi w:val="0"/>
              <w:ind w:firstLine="0" w:firstLineChars="0"/>
              <w:rPr>
                <w:rFonts w:hint="default" w:ascii="Times New Roman" w:hAnsi="Times New Roman" w:eastAsia="仿宋_GB2312" w:cstheme="minorBidi"/>
                <w:sz w:val="21"/>
              </w:rPr>
            </w:pPr>
            <w:r>
              <w:rPr>
                <w:rFonts w:hint="eastAsia"/>
                <w:lang w:val="en-US" w:eastAsia="zh-CN"/>
              </w:rPr>
              <w:t>座</w:t>
            </w:r>
          </w:p>
        </w:tc>
        <w:tc>
          <w:tcPr>
            <w:tcW w:w="672" w:type="pct"/>
            <w:noWrap/>
            <w:vAlign w:val="center"/>
          </w:tcPr>
          <w:p>
            <w:pPr>
              <w:pStyle w:val="17"/>
              <w:bidi w:val="0"/>
              <w:ind w:firstLine="0" w:firstLineChars="0"/>
              <w:rPr>
                <w:rFonts w:hint="default" w:ascii="Times New Roman" w:hAnsi="Times New Roman" w:eastAsia="仿宋_GB2312" w:cstheme="minorBidi"/>
                <w:sz w:val="21"/>
              </w:rPr>
            </w:pPr>
            <w:r>
              <w:rPr>
                <w:rFonts w:hint="eastAsia"/>
                <w:lang w:val="en-US" w:eastAsia="zh-CN"/>
              </w:rPr>
              <w:t>4</w:t>
            </w:r>
          </w:p>
        </w:tc>
        <w:tc>
          <w:tcPr>
            <w:tcW w:w="1973" w:type="pct"/>
            <w:noWrap/>
            <w:vAlign w:val="center"/>
          </w:tcPr>
          <w:p>
            <w:pPr>
              <w:bidi w:val="0"/>
              <w:ind w:firstLine="420" w:firstLineChars="200"/>
              <w:rPr>
                <w:rFonts w:hint="default" w:ascii="Times New Roman" w:hAnsi="Times New Roman" w:eastAsia="仿宋_GB2312" w:cstheme="minorBidi"/>
                <w:sz w:val="21"/>
                <w:szCs w:val="21"/>
                <w:lang w:val="en-US" w:eastAsia="zh-CN"/>
              </w:rPr>
            </w:pPr>
            <w:r>
              <w:rPr>
                <w:rFonts w:hint="eastAsia"/>
                <w:sz w:val="21"/>
                <w:szCs w:val="21"/>
                <w:lang w:val="en-US" w:eastAsia="zh-CN"/>
              </w:rPr>
              <w:t>2016年10月~2018年10月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48" w:type="pct"/>
            <w:vMerge w:val="continue"/>
            <w:noWrap/>
            <w:vAlign w:val="center"/>
          </w:tcPr>
          <w:p>
            <w:pPr>
              <w:pStyle w:val="17"/>
              <w:bidi w:val="0"/>
              <w:rPr>
                <w:rFonts w:hint="eastAsia"/>
                <w:lang w:val="en-US" w:eastAsia="zh-CN"/>
              </w:rPr>
            </w:pPr>
          </w:p>
        </w:tc>
        <w:tc>
          <w:tcPr>
            <w:tcW w:w="92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21"/>
                <w:szCs w:val="20"/>
                <w:lang w:val="en-US" w:eastAsia="zh-CN"/>
              </w:rPr>
            </w:pPr>
            <w:r>
              <w:rPr>
                <w:rFonts w:hint="eastAsia"/>
                <w:sz w:val="21"/>
                <w:szCs w:val="20"/>
                <w:lang w:val="en-US" w:eastAsia="zh-CN"/>
              </w:rPr>
              <w:t>编织土袋拦挡</w:t>
            </w:r>
          </w:p>
        </w:tc>
        <w:tc>
          <w:tcPr>
            <w:tcW w:w="576" w:type="pct"/>
            <w:noWrap/>
            <w:vAlign w:val="center"/>
          </w:tcPr>
          <w:p>
            <w:pPr>
              <w:bidi w:val="0"/>
              <w:ind w:firstLine="420" w:firstLineChars="200"/>
              <w:rPr>
                <w:rFonts w:hint="default"/>
                <w:sz w:val="21"/>
                <w:szCs w:val="20"/>
                <w:lang w:val="en-US" w:eastAsia="zh-CN"/>
              </w:rPr>
            </w:pPr>
            <w:r>
              <w:rPr>
                <w:rFonts w:hint="eastAsia"/>
                <w:sz w:val="21"/>
                <w:szCs w:val="20"/>
                <w:lang w:val="en-US" w:eastAsia="zh-CN"/>
              </w:rPr>
              <w:t>m</w:t>
            </w:r>
            <w:r>
              <w:rPr>
                <w:rFonts w:hint="eastAsia"/>
                <w:sz w:val="22"/>
                <w:szCs w:val="21"/>
                <w:vertAlign w:val="superscript"/>
                <w:lang w:val="en-US" w:eastAsia="zh-CN"/>
              </w:rPr>
              <w:t>3</w:t>
            </w:r>
          </w:p>
        </w:tc>
        <w:tc>
          <w:tcPr>
            <w:tcW w:w="672" w:type="pct"/>
            <w:noWrap/>
            <w:vAlign w:val="center"/>
          </w:tcPr>
          <w:p>
            <w:pPr>
              <w:pStyle w:val="17"/>
              <w:bidi w:val="0"/>
              <w:ind w:firstLine="0" w:firstLineChars="0"/>
              <w:rPr>
                <w:rFonts w:hint="default"/>
                <w:lang w:val="en-US" w:eastAsia="zh-CN"/>
              </w:rPr>
            </w:pPr>
            <w:r>
              <w:rPr>
                <w:rFonts w:hint="eastAsia"/>
                <w:lang w:val="en-US" w:eastAsia="zh-CN"/>
              </w:rPr>
              <w:t>782</w:t>
            </w:r>
          </w:p>
        </w:tc>
        <w:tc>
          <w:tcPr>
            <w:tcW w:w="1973" w:type="pct"/>
            <w:noWrap/>
            <w:vAlign w:val="center"/>
          </w:tcPr>
          <w:p>
            <w:pPr>
              <w:pStyle w:val="17"/>
              <w:bidi w:val="0"/>
              <w:ind w:firstLine="0" w:firstLineChars="0"/>
              <w:rPr>
                <w:rFonts w:hint="eastAsia"/>
                <w:sz w:val="21"/>
                <w:szCs w:val="21"/>
                <w:lang w:val="en-US" w:eastAsia="zh-CN"/>
              </w:rPr>
            </w:pPr>
            <w:r>
              <w:rPr>
                <w:rFonts w:hint="eastAsia"/>
                <w:sz w:val="21"/>
                <w:szCs w:val="21"/>
                <w:lang w:val="en-US" w:eastAsia="zh-CN"/>
              </w:rPr>
              <w:t>2016年10月~2018年10月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848" w:type="pct"/>
            <w:noWrap/>
            <w:vAlign w:val="center"/>
          </w:tcPr>
          <w:p>
            <w:pPr>
              <w:pStyle w:val="17"/>
              <w:bidi w:val="0"/>
              <w:ind w:firstLine="0" w:firstLineChars="0"/>
              <w:rPr>
                <w:rFonts w:hint="default"/>
                <w:lang w:val="en-US" w:eastAsia="zh-CN"/>
              </w:rPr>
            </w:pPr>
            <w:r>
              <w:rPr>
                <w:rFonts w:hint="eastAsia"/>
                <w:lang w:val="en-US" w:eastAsia="zh-CN"/>
              </w:rPr>
              <w:t>道路及管线区</w:t>
            </w:r>
          </w:p>
        </w:tc>
        <w:tc>
          <w:tcPr>
            <w:tcW w:w="92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0"/>
              </w:rPr>
            </w:pPr>
            <w:r>
              <w:rPr>
                <w:rFonts w:hint="eastAsia"/>
                <w:sz w:val="21"/>
                <w:szCs w:val="20"/>
                <w:lang w:val="en-US" w:eastAsia="zh-CN"/>
              </w:rPr>
              <w:t>编织土袋拦挡</w:t>
            </w:r>
          </w:p>
        </w:tc>
        <w:tc>
          <w:tcPr>
            <w:tcW w:w="576" w:type="pct"/>
            <w:noWrap/>
            <w:vAlign w:val="center"/>
          </w:tcPr>
          <w:p>
            <w:pPr>
              <w:bidi w:val="0"/>
              <w:ind w:firstLine="420" w:firstLineChars="200"/>
              <w:rPr>
                <w:sz w:val="21"/>
                <w:szCs w:val="20"/>
              </w:rPr>
            </w:pPr>
            <w:r>
              <w:rPr>
                <w:rFonts w:hint="eastAsia"/>
                <w:sz w:val="21"/>
                <w:szCs w:val="20"/>
                <w:lang w:val="en-US" w:eastAsia="zh-CN"/>
              </w:rPr>
              <w:t>m</w:t>
            </w:r>
            <w:r>
              <w:rPr>
                <w:rFonts w:hint="eastAsia"/>
                <w:sz w:val="22"/>
                <w:szCs w:val="21"/>
                <w:vertAlign w:val="superscript"/>
                <w:lang w:val="en-US" w:eastAsia="zh-CN"/>
              </w:rPr>
              <w:t>3</w:t>
            </w:r>
          </w:p>
        </w:tc>
        <w:tc>
          <w:tcPr>
            <w:tcW w:w="672" w:type="pct"/>
            <w:noWrap/>
            <w:vAlign w:val="center"/>
          </w:tcPr>
          <w:p>
            <w:pPr>
              <w:pStyle w:val="17"/>
              <w:bidi w:val="0"/>
              <w:ind w:firstLine="0" w:firstLineChars="0"/>
              <w:rPr>
                <w:rFonts w:hint="default"/>
                <w:lang w:val="en-US"/>
              </w:rPr>
            </w:pPr>
            <w:r>
              <w:rPr>
                <w:rFonts w:hint="eastAsia"/>
                <w:lang w:val="en-US" w:eastAsia="zh-CN"/>
              </w:rPr>
              <w:t>460</w:t>
            </w:r>
          </w:p>
        </w:tc>
        <w:tc>
          <w:tcPr>
            <w:tcW w:w="1973" w:type="pct"/>
            <w:noWrap/>
            <w:vAlign w:val="center"/>
          </w:tcPr>
          <w:p>
            <w:pPr>
              <w:pStyle w:val="17"/>
              <w:bidi w:val="0"/>
              <w:ind w:firstLine="0" w:firstLineChars="0"/>
              <w:rPr>
                <w:sz w:val="21"/>
                <w:szCs w:val="21"/>
                <w:highlight w:val="none"/>
              </w:rPr>
            </w:pPr>
            <w:r>
              <w:rPr>
                <w:rFonts w:hint="eastAsia"/>
                <w:sz w:val="21"/>
                <w:szCs w:val="21"/>
                <w:lang w:val="en-US" w:eastAsia="zh-CN"/>
              </w:rPr>
              <w:t>2017年12月~2019年10月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48" w:type="pct"/>
            <w:noWrap/>
            <w:vAlign w:val="center"/>
          </w:tcPr>
          <w:p>
            <w:pPr>
              <w:pStyle w:val="17"/>
              <w:bidi w:val="0"/>
              <w:rPr>
                <w:rFonts w:hint="default"/>
                <w:lang w:val="en-US" w:eastAsia="zh-CN"/>
              </w:rPr>
            </w:pPr>
            <w:r>
              <w:rPr>
                <w:rFonts w:hint="eastAsia"/>
                <w:lang w:val="en-US" w:eastAsia="zh-CN"/>
              </w:rPr>
              <w:t>施工营造区</w:t>
            </w:r>
          </w:p>
        </w:tc>
        <w:tc>
          <w:tcPr>
            <w:tcW w:w="928" w:type="pct"/>
            <w:noWrap/>
            <w:vAlign w:val="center"/>
          </w:tcPr>
          <w:p>
            <w:pPr>
              <w:pStyle w:val="17"/>
              <w:bidi w:val="0"/>
              <w:ind w:firstLine="0" w:firstLineChars="0"/>
              <w:rPr>
                <w:rFonts w:hint="eastAsia"/>
                <w:lang w:val="en-US" w:eastAsia="zh-CN"/>
              </w:rPr>
            </w:pPr>
            <w:r>
              <w:rPr>
                <w:rFonts w:hint="eastAsia"/>
                <w:lang w:val="en-US" w:eastAsia="zh-CN"/>
              </w:rPr>
              <w:t>临时排水沟</w:t>
            </w:r>
          </w:p>
        </w:tc>
        <w:tc>
          <w:tcPr>
            <w:tcW w:w="576" w:type="pct"/>
            <w:noWrap/>
            <w:vAlign w:val="center"/>
          </w:tcPr>
          <w:p>
            <w:pPr>
              <w:pStyle w:val="17"/>
              <w:bidi w:val="0"/>
              <w:ind w:firstLine="0" w:firstLineChars="0"/>
              <w:rPr>
                <w:rFonts w:hint="default"/>
                <w:lang w:val="en-US" w:eastAsia="zh-CN"/>
              </w:rPr>
            </w:pPr>
            <w:r>
              <w:rPr>
                <w:rFonts w:hint="default"/>
                <w:lang w:val="en-US" w:eastAsia="zh-CN"/>
              </w:rPr>
              <w:t>m</w:t>
            </w:r>
          </w:p>
        </w:tc>
        <w:tc>
          <w:tcPr>
            <w:tcW w:w="672" w:type="pct"/>
            <w:noWrap/>
            <w:vAlign w:val="center"/>
          </w:tcPr>
          <w:p>
            <w:pPr>
              <w:pStyle w:val="17"/>
              <w:bidi w:val="0"/>
              <w:ind w:firstLine="0" w:firstLineChars="0"/>
              <w:rPr>
                <w:rFonts w:hint="default"/>
                <w:lang w:val="en-US" w:eastAsia="zh-CN"/>
              </w:rPr>
            </w:pPr>
            <w:r>
              <w:rPr>
                <w:rFonts w:hint="eastAsia"/>
                <w:lang w:val="en-US" w:eastAsia="zh-CN"/>
              </w:rPr>
              <w:t>90</w:t>
            </w:r>
          </w:p>
        </w:tc>
        <w:tc>
          <w:tcPr>
            <w:tcW w:w="1973" w:type="pct"/>
            <w:noWrap/>
            <w:vAlign w:val="center"/>
          </w:tcPr>
          <w:p>
            <w:pPr>
              <w:bidi w:val="0"/>
              <w:ind w:firstLine="420" w:firstLineChars="200"/>
              <w:rPr>
                <w:rFonts w:hint="eastAsia" w:ascii="Times New Roman" w:hAnsi="Times New Roman" w:eastAsia="仿宋_GB2312" w:cstheme="minorBidi"/>
                <w:kern w:val="2"/>
                <w:sz w:val="21"/>
                <w:szCs w:val="21"/>
                <w:lang w:val="en-US" w:eastAsia="zh-CN" w:bidi="ar-SA"/>
              </w:rPr>
            </w:pPr>
            <w:r>
              <w:rPr>
                <w:rFonts w:hint="eastAsia"/>
                <w:sz w:val="21"/>
                <w:szCs w:val="21"/>
                <w:lang w:val="en-US" w:eastAsia="zh-CN"/>
              </w:rPr>
              <w:t>2016年10月~2018年10月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48" w:type="pct"/>
            <w:vMerge w:val="restart"/>
            <w:noWrap/>
            <w:vAlign w:val="center"/>
          </w:tcPr>
          <w:p>
            <w:pPr>
              <w:pStyle w:val="17"/>
              <w:bidi w:val="0"/>
              <w:rPr>
                <w:rFonts w:hint="default"/>
                <w:lang w:val="en-US" w:eastAsia="zh-CN"/>
              </w:rPr>
            </w:pPr>
            <w:r>
              <w:rPr>
                <w:rFonts w:hint="eastAsia"/>
                <w:lang w:val="en-US" w:eastAsia="zh-CN"/>
              </w:rPr>
              <w:t>临时堆土场</w:t>
            </w:r>
          </w:p>
        </w:tc>
        <w:tc>
          <w:tcPr>
            <w:tcW w:w="928" w:type="pct"/>
            <w:noWrap/>
            <w:vAlign w:val="center"/>
          </w:tcPr>
          <w:p>
            <w:pPr>
              <w:pStyle w:val="17"/>
              <w:bidi w:val="0"/>
              <w:ind w:firstLine="0" w:firstLineChars="0"/>
              <w:rPr>
                <w:rFonts w:hint="eastAsia" w:ascii="Times New Roman" w:hAnsi="Times New Roman" w:eastAsia="仿宋_GB2312" w:cstheme="minorBidi"/>
                <w:sz w:val="21"/>
                <w:lang w:val="en-US" w:eastAsia="zh-CN"/>
              </w:rPr>
            </w:pPr>
            <w:r>
              <w:rPr>
                <w:rFonts w:hint="eastAsia"/>
                <w:lang w:val="en-US" w:eastAsia="zh-CN"/>
              </w:rPr>
              <w:t>编织土袋拦挡</w:t>
            </w:r>
          </w:p>
        </w:tc>
        <w:tc>
          <w:tcPr>
            <w:tcW w:w="576" w:type="pct"/>
            <w:noWrap/>
            <w:vAlign w:val="center"/>
          </w:tcPr>
          <w:p>
            <w:pPr>
              <w:pStyle w:val="17"/>
              <w:bidi w:val="0"/>
              <w:ind w:firstLine="0" w:firstLineChars="0"/>
              <w:rPr>
                <w:rFonts w:hint="default" w:ascii="Times New Roman" w:hAnsi="Times New Roman" w:eastAsia="仿宋_GB2312" w:cstheme="minorBidi"/>
                <w:sz w:val="21"/>
                <w:lang w:val="en-US" w:eastAsia="zh-CN"/>
              </w:rPr>
            </w:pPr>
            <w:r>
              <w:rPr>
                <w:rFonts w:hint="eastAsia"/>
                <w:sz w:val="21"/>
                <w:szCs w:val="20"/>
                <w:lang w:val="en-US" w:eastAsia="zh-CN"/>
              </w:rPr>
              <w:t>m</w:t>
            </w:r>
            <w:r>
              <w:rPr>
                <w:rFonts w:hint="eastAsia"/>
                <w:sz w:val="22"/>
                <w:szCs w:val="21"/>
                <w:vertAlign w:val="superscript"/>
                <w:lang w:val="en-US" w:eastAsia="zh-CN"/>
              </w:rPr>
              <w:t>3</w:t>
            </w:r>
          </w:p>
        </w:tc>
        <w:tc>
          <w:tcPr>
            <w:tcW w:w="672" w:type="pct"/>
            <w:noWrap/>
            <w:vAlign w:val="center"/>
          </w:tcPr>
          <w:p>
            <w:pPr>
              <w:pStyle w:val="17"/>
              <w:bidi w:val="0"/>
              <w:ind w:firstLine="0" w:firstLineChars="0"/>
              <w:rPr>
                <w:rFonts w:hint="default" w:ascii="Times New Roman" w:hAnsi="Times New Roman" w:eastAsia="仿宋_GB2312" w:cstheme="minorBidi"/>
                <w:sz w:val="21"/>
                <w:lang w:val="en-US" w:eastAsia="zh-CN"/>
              </w:rPr>
            </w:pPr>
            <w:r>
              <w:rPr>
                <w:rFonts w:hint="eastAsia"/>
                <w:lang w:val="en-US" w:eastAsia="zh-CN"/>
              </w:rPr>
              <w:t>240</w:t>
            </w:r>
          </w:p>
        </w:tc>
        <w:tc>
          <w:tcPr>
            <w:tcW w:w="1973" w:type="pct"/>
            <w:noWrap/>
            <w:vAlign w:val="center"/>
          </w:tcPr>
          <w:p>
            <w:pPr>
              <w:bidi w:val="0"/>
              <w:ind w:firstLine="420" w:firstLineChars="200"/>
              <w:rPr>
                <w:rFonts w:hint="eastAsia" w:ascii="Times New Roman" w:hAnsi="Times New Roman" w:eastAsia="仿宋_GB2312" w:cstheme="minorBidi"/>
                <w:kern w:val="2"/>
                <w:sz w:val="21"/>
                <w:szCs w:val="21"/>
                <w:lang w:val="en-US" w:eastAsia="zh-CN" w:bidi="ar-SA"/>
              </w:rPr>
            </w:pPr>
            <w:r>
              <w:rPr>
                <w:rFonts w:hint="eastAsia"/>
                <w:sz w:val="21"/>
                <w:szCs w:val="21"/>
                <w:lang w:val="en-US" w:eastAsia="zh-CN"/>
              </w:rPr>
              <w:t>2016年10月~2018年10月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48" w:type="pct"/>
            <w:vMerge w:val="continue"/>
            <w:noWrap/>
            <w:vAlign w:val="center"/>
          </w:tcPr>
          <w:p>
            <w:pPr>
              <w:pStyle w:val="17"/>
              <w:bidi w:val="0"/>
              <w:rPr>
                <w:rFonts w:hint="eastAsia"/>
                <w:lang w:val="en-US" w:eastAsia="zh-CN"/>
              </w:rPr>
            </w:pPr>
          </w:p>
        </w:tc>
        <w:tc>
          <w:tcPr>
            <w:tcW w:w="928" w:type="pct"/>
            <w:noWrap/>
            <w:vAlign w:val="center"/>
          </w:tcPr>
          <w:p>
            <w:pPr>
              <w:pStyle w:val="17"/>
              <w:bidi w:val="0"/>
              <w:ind w:firstLine="0" w:firstLineChars="0"/>
              <w:rPr>
                <w:rFonts w:hint="eastAsia" w:ascii="Times New Roman" w:hAnsi="Times New Roman" w:eastAsia="仿宋_GB2312" w:cstheme="minorBidi"/>
                <w:sz w:val="21"/>
                <w:lang w:val="en-US" w:eastAsia="zh-CN"/>
              </w:rPr>
            </w:pPr>
            <w:r>
              <w:rPr>
                <w:rFonts w:hint="eastAsia"/>
                <w:lang w:val="en-US" w:eastAsia="zh-CN"/>
              </w:rPr>
              <w:t>彩条布临时苫盖</w:t>
            </w:r>
          </w:p>
        </w:tc>
        <w:tc>
          <w:tcPr>
            <w:tcW w:w="576" w:type="pct"/>
            <w:noWrap/>
            <w:vAlign w:val="center"/>
          </w:tcPr>
          <w:p>
            <w:pPr>
              <w:pStyle w:val="17"/>
              <w:bidi w:val="0"/>
              <w:ind w:firstLine="0" w:firstLineChars="0"/>
              <w:rPr>
                <w:rFonts w:hint="default" w:ascii="Times New Roman" w:hAnsi="Times New Roman" w:eastAsia="仿宋_GB2312" w:cstheme="minorBidi"/>
                <w:sz w:val="21"/>
                <w:lang w:val="en-US" w:eastAsia="zh-CN"/>
              </w:rPr>
            </w:pPr>
            <w:r>
              <w:rPr>
                <w:rFonts w:hint="default"/>
                <w:lang w:val="en-US" w:eastAsia="zh-CN"/>
              </w:rPr>
              <w:t>m</w:t>
            </w:r>
            <w:r>
              <w:rPr>
                <w:rFonts w:hint="default"/>
                <w:vertAlign w:val="superscript"/>
                <w:lang w:val="en-US" w:eastAsia="zh-CN"/>
              </w:rPr>
              <w:t>2</w:t>
            </w:r>
          </w:p>
        </w:tc>
        <w:tc>
          <w:tcPr>
            <w:tcW w:w="672" w:type="pct"/>
            <w:noWrap/>
            <w:vAlign w:val="center"/>
          </w:tcPr>
          <w:p>
            <w:pPr>
              <w:pStyle w:val="17"/>
              <w:bidi w:val="0"/>
              <w:ind w:firstLine="0" w:firstLineChars="0"/>
              <w:rPr>
                <w:rFonts w:hint="default" w:ascii="Times New Roman" w:hAnsi="Times New Roman" w:eastAsia="仿宋_GB2312" w:cstheme="minorBidi"/>
                <w:sz w:val="21"/>
                <w:lang w:val="en-US" w:eastAsia="zh-CN"/>
              </w:rPr>
            </w:pPr>
            <w:r>
              <w:rPr>
                <w:rFonts w:hint="eastAsia"/>
                <w:lang w:val="en-US" w:eastAsia="zh-CN"/>
              </w:rPr>
              <w:t>6400</w:t>
            </w:r>
          </w:p>
        </w:tc>
        <w:tc>
          <w:tcPr>
            <w:tcW w:w="1973" w:type="pct"/>
            <w:noWrap/>
            <w:vAlign w:val="center"/>
          </w:tcPr>
          <w:p>
            <w:pPr>
              <w:pStyle w:val="17"/>
              <w:bidi w:val="0"/>
              <w:ind w:firstLine="0" w:firstLineChars="0"/>
              <w:rPr>
                <w:rFonts w:hint="eastAsia" w:ascii="Times New Roman" w:hAnsi="Times New Roman" w:eastAsia="仿宋_GB2312" w:cstheme="minorBidi"/>
                <w:sz w:val="21"/>
                <w:szCs w:val="21"/>
                <w:lang w:val="en-US" w:eastAsia="zh-CN"/>
              </w:rPr>
            </w:pPr>
            <w:r>
              <w:rPr>
                <w:rFonts w:hint="eastAsia"/>
                <w:sz w:val="21"/>
                <w:szCs w:val="21"/>
                <w:lang w:val="en-US" w:eastAsia="zh-CN"/>
              </w:rPr>
              <w:t>2016年10月~2018年10月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48" w:type="pct"/>
            <w:vMerge w:val="continue"/>
            <w:noWrap/>
            <w:vAlign w:val="center"/>
          </w:tcPr>
          <w:p>
            <w:pPr>
              <w:pStyle w:val="17"/>
              <w:bidi w:val="0"/>
              <w:rPr>
                <w:rFonts w:hint="eastAsia"/>
                <w:lang w:val="en-US" w:eastAsia="zh-CN"/>
              </w:rPr>
            </w:pPr>
          </w:p>
        </w:tc>
        <w:tc>
          <w:tcPr>
            <w:tcW w:w="928" w:type="pct"/>
            <w:noWrap/>
            <w:vAlign w:val="center"/>
          </w:tcPr>
          <w:p>
            <w:pPr>
              <w:pStyle w:val="17"/>
              <w:bidi w:val="0"/>
              <w:ind w:firstLine="0" w:firstLineChars="0"/>
              <w:rPr>
                <w:rFonts w:hint="eastAsia" w:ascii="Times New Roman" w:hAnsi="Times New Roman" w:eastAsia="仿宋_GB2312" w:cstheme="minorBidi"/>
                <w:sz w:val="21"/>
                <w:lang w:val="en-US" w:eastAsia="zh-CN"/>
              </w:rPr>
            </w:pPr>
            <w:r>
              <w:rPr>
                <w:rFonts w:hint="eastAsia"/>
                <w:lang w:val="en-US" w:eastAsia="zh-CN"/>
              </w:rPr>
              <w:t>临时排水沟</w:t>
            </w:r>
          </w:p>
        </w:tc>
        <w:tc>
          <w:tcPr>
            <w:tcW w:w="576" w:type="pct"/>
            <w:noWrap/>
            <w:vAlign w:val="center"/>
          </w:tcPr>
          <w:p>
            <w:pPr>
              <w:pStyle w:val="17"/>
              <w:bidi w:val="0"/>
              <w:ind w:firstLine="0" w:firstLineChars="0"/>
              <w:rPr>
                <w:rFonts w:hint="default" w:ascii="Times New Roman" w:hAnsi="Times New Roman" w:eastAsia="仿宋_GB2312" w:cstheme="minorBidi"/>
                <w:sz w:val="21"/>
                <w:lang w:val="en-US" w:eastAsia="zh-CN"/>
              </w:rPr>
            </w:pPr>
            <w:r>
              <w:rPr>
                <w:rFonts w:hint="default"/>
                <w:lang w:val="en-US" w:eastAsia="zh-CN"/>
              </w:rPr>
              <w:t>m</w:t>
            </w:r>
          </w:p>
        </w:tc>
        <w:tc>
          <w:tcPr>
            <w:tcW w:w="672" w:type="pct"/>
            <w:noWrap/>
            <w:vAlign w:val="center"/>
          </w:tcPr>
          <w:p>
            <w:pPr>
              <w:pStyle w:val="17"/>
              <w:bidi w:val="0"/>
              <w:ind w:firstLine="0" w:firstLineChars="0"/>
              <w:rPr>
                <w:rFonts w:hint="default" w:ascii="Times New Roman" w:hAnsi="Times New Roman" w:eastAsia="仿宋_GB2312" w:cstheme="minorBidi"/>
                <w:sz w:val="21"/>
                <w:lang w:val="en-US" w:eastAsia="zh-CN"/>
              </w:rPr>
            </w:pPr>
            <w:r>
              <w:rPr>
                <w:rFonts w:hint="eastAsia"/>
                <w:lang w:val="en-US" w:eastAsia="zh-CN"/>
              </w:rPr>
              <w:t>240</w:t>
            </w:r>
          </w:p>
        </w:tc>
        <w:tc>
          <w:tcPr>
            <w:tcW w:w="1973" w:type="pct"/>
            <w:noWrap/>
            <w:vAlign w:val="center"/>
          </w:tcPr>
          <w:p>
            <w:pPr>
              <w:pStyle w:val="17"/>
              <w:bidi w:val="0"/>
              <w:ind w:firstLine="0" w:firstLineChars="0"/>
              <w:rPr>
                <w:rFonts w:hint="eastAsia" w:ascii="Times New Roman" w:hAnsi="Times New Roman" w:eastAsia="仿宋_GB2312" w:cstheme="minorBidi"/>
                <w:sz w:val="21"/>
                <w:szCs w:val="21"/>
                <w:lang w:val="en-US" w:eastAsia="zh-CN"/>
              </w:rPr>
            </w:pPr>
            <w:r>
              <w:rPr>
                <w:rFonts w:hint="eastAsia"/>
                <w:sz w:val="21"/>
                <w:szCs w:val="21"/>
                <w:lang w:val="en-US" w:eastAsia="zh-CN"/>
              </w:rPr>
              <w:t>2016年10月~2018年10月</w:t>
            </w:r>
          </w:p>
        </w:tc>
      </w:tr>
    </w:tbl>
    <w:p>
      <w:pPr>
        <w:pStyle w:val="4"/>
        <w:keepNext/>
        <w:keepLines/>
        <w:pageBreakBefore w:val="0"/>
        <w:widowControl w:val="0"/>
        <w:kinsoku/>
        <w:wordWrap/>
        <w:overflowPunct/>
        <w:topLinePunct w:val="0"/>
        <w:autoSpaceDE/>
        <w:autoSpaceDN/>
        <w:bidi w:val="0"/>
        <w:adjustRightInd/>
        <w:snapToGrid/>
        <w:spacing w:line="360" w:lineRule="auto"/>
        <w:textAlignment w:val="auto"/>
      </w:pPr>
      <w:bookmarkStart w:id="122" w:name="_Toc15083"/>
      <w:bookmarkStart w:id="123" w:name="_Toc44318491"/>
      <w:bookmarkStart w:id="124" w:name="_Toc18334"/>
      <w:r>
        <w:t>4.</w:t>
      </w:r>
      <w:r>
        <w:rPr>
          <w:rFonts w:hint="eastAsia"/>
          <w:lang w:eastAsia="zh-CN"/>
        </w:rPr>
        <w:t>4</w:t>
      </w:r>
      <w:r>
        <w:t>水土保持措施防治效果</w:t>
      </w:r>
      <w:bookmarkEnd w:id="122"/>
      <w:bookmarkEnd w:id="123"/>
      <w:bookmarkEnd w:id="124"/>
    </w:p>
    <w:p>
      <w:pPr>
        <w:pStyle w:val="5"/>
        <w:keepNext/>
        <w:keepLines/>
        <w:pageBreakBefore w:val="0"/>
        <w:widowControl w:val="0"/>
        <w:kinsoku/>
        <w:wordWrap/>
        <w:overflowPunct/>
        <w:topLinePunct w:val="0"/>
        <w:autoSpaceDE/>
        <w:autoSpaceDN/>
        <w:bidi w:val="0"/>
        <w:adjustRightInd/>
        <w:snapToGrid/>
        <w:spacing w:line="360" w:lineRule="auto"/>
        <w:textAlignment w:val="auto"/>
        <w:rPr>
          <w:rFonts w:eastAsia="仿宋_GB2312"/>
          <w:color w:val="000000"/>
          <w:sz w:val="24"/>
          <w:szCs w:val="24"/>
        </w:rPr>
      </w:pPr>
      <w:r>
        <w:rPr>
          <w:rFonts w:eastAsia="仿宋_GB2312"/>
          <w:color w:val="000000"/>
          <w:sz w:val="24"/>
          <w:szCs w:val="24"/>
        </w:rPr>
        <w:t>4.</w:t>
      </w:r>
      <w:r>
        <w:rPr>
          <w:rFonts w:hint="eastAsia" w:eastAsia="仿宋_GB2312"/>
          <w:color w:val="000000"/>
          <w:sz w:val="24"/>
          <w:szCs w:val="24"/>
        </w:rPr>
        <w:t>4</w:t>
      </w:r>
      <w:r>
        <w:rPr>
          <w:rFonts w:eastAsia="仿宋_GB2312"/>
          <w:color w:val="000000"/>
          <w:sz w:val="24"/>
          <w:szCs w:val="24"/>
        </w:rPr>
        <w:t>.1工程措施</w:t>
      </w:r>
    </w:p>
    <w:p>
      <w:pPr>
        <w:pStyle w:val="24"/>
      </w:pPr>
      <w:r>
        <w:t>工程中实施的各项工程措施运行良好，无损坏</w:t>
      </w:r>
      <w:r>
        <w:rPr>
          <w:rFonts w:hint="eastAsia"/>
          <w:lang w:eastAsia="zh-CN"/>
        </w:rPr>
        <w:t>，</w:t>
      </w:r>
      <w:r>
        <w:t>均能很好的发挥</w:t>
      </w:r>
      <w:r>
        <w:rPr>
          <w:rFonts w:hint="eastAsia"/>
          <w:lang w:val="en-US" w:eastAsia="zh-CN"/>
        </w:rPr>
        <w:t>预防</w:t>
      </w:r>
      <w:r>
        <w:t>水土流失</w:t>
      </w:r>
      <w:r>
        <w:rPr>
          <w:rFonts w:hint="eastAsia"/>
          <w:lang w:val="en-US" w:eastAsia="zh-CN"/>
        </w:rPr>
        <w:t>的</w:t>
      </w:r>
      <w:r>
        <w:t>作用。</w:t>
      </w:r>
    </w:p>
    <w:p>
      <w:pPr>
        <w:pStyle w:val="5"/>
        <w:snapToGrid/>
        <w:spacing w:line="360" w:lineRule="auto"/>
        <w:rPr>
          <w:rFonts w:eastAsia="仿宋_GB2312"/>
          <w:color w:val="000000"/>
          <w:sz w:val="24"/>
          <w:szCs w:val="24"/>
        </w:rPr>
      </w:pPr>
      <w:r>
        <w:rPr>
          <w:rFonts w:eastAsia="仿宋_GB2312"/>
          <w:color w:val="000000"/>
          <w:sz w:val="24"/>
          <w:szCs w:val="24"/>
        </w:rPr>
        <w:t>4.</w:t>
      </w:r>
      <w:r>
        <w:rPr>
          <w:rFonts w:hint="eastAsia" w:eastAsia="仿宋_GB2312"/>
          <w:color w:val="000000"/>
          <w:sz w:val="24"/>
          <w:szCs w:val="24"/>
        </w:rPr>
        <w:t>4</w:t>
      </w:r>
      <w:r>
        <w:rPr>
          <w:rFonts w:eastAsia="仿宋_GB2312"/>
          <w:color w:val="000000"/>
          <w:sz w:val="24"/>
          <w:szCs w:val="24"/>
        </w:rPr>
        <w:t>.2植物措施</w:t>
      </w:r>
    </w:p>
    <w:p>
      <w:pPr>
        <w:pStyle w:val="24"/>
        <w:rPr>
          <w:rFonts w:hint="eastAsia" w:eastAsia="仿宋_GB2312"/>
          <w:lang w:eastAsia="zh-CN"/>
        </w:rPr>
      </w:pPr>
      <w:r>
        <w:rPr>
          <w:rFonts w:hint="eastAsia"/>
          <w:lang w:val="en-US" w:eastAsia="zh-CN"/>
        </w:rPr>
        <w:t>工程落实植物措施面积5.76hm</w:t>
      </w:r>
      <w:r>
        <w:rPr>
          <w:rFonts w:hint="eastAsia"/>
          <w:vertAlign w:val="superscript"/>
          <w:lang w:val="en-US" w:eastAsia="zh-CN"/>
        </w:rPr>
        <w:t>2</w:t>
      </w:r>
      <w:r>
        <w:rPr>
          <w:rFonts w:hint="eastAsia"/>
          <w:lang w:val="en-US" w:eastAsia="zh-CN"/>
        </w:rPr>
        <w:t>，</w:t>
      </w:r>
      <w:r>
        <w:t>植被长势较好；</w:t>
      </w:r>
      <w:r>
        <w:rPr>
          <w:szCs w:val="24"/>
          <w:highlight w:val="none"/>
        </w:rPr>
        <w:t>项目建设区林草植被恢复率和林草覆盖率分别达到100</w:t>
      </w:r>
      <w:r>
        <w:rPr>
          <w:rFonts w:hint="eastAsia"/>
          <w:szCs w:val="24"/>
          <w:highlight w:val="none"/>
        </w:rPr>
        <w:t>%</w:t>
      </w:r>
      <w:r>
        <w:rPr>
          <w:szCs w:val="24"/>
          <w:highlight w:val="none"/>
        </w:rPr>
        <w:t>和</w:t>
      </w:r>
      <w:r>
        <w:rPr>
          <w:rFonts w:hint="eastAsia"/>
          <w:szCs w:val="24"/>
          <w:highlight w:val="none"/>
          <w:lang w:val="en-US" w:eastAsia="zh-CN"/>
        </w:rPr>
        <w:t>57%</w:t>
      </w:r>
      <w:r>
        <w:rPr>
          <w:szCs w:val="24"/>
          <w:highlight w:val="none"/>
        </w:rPr>
        <w:t>，</w:t>
      </w:r>
      <w:r>
        <w:rPr>
          <w:rFonts w:hint="eastAsia"/>
          <w:szCs w:val="24"/>
          <w:highlight w:val="none"/>
        </w:rPr>
        <w:t>林草植被恢复率及林草覆盖率均</w:t>
      </w:r>
      <w:r>
        <w:rPr>
          <w:szCs w:val="24"/>
          <w:highlight w:val="none"/>
        </w:rPr>
        <w:t>达到方案设计</w:t>
      </w:r>
      <w:r>
        <w:rPr>
          <w:rFonts w:hint="eastAsia"/>
          <w:szCs w:val="24"/>
          <w:highlight w:val="none"/>
        </w:rPr>
        <w:t>的</w:t>
      </w:r>
      <w:r>
        <w:rPr>
          <w:szCs w:val="24"/>
          <w:highlight w:val="none"/>
        </w:rPr>
        <w:t>水土流失防治标准值</w:t>
      </w:r>
      <w:r>
        <w:rPr>
          <w:rFonts w:hint="eastAsia"/>
          <w:szCs w:val="24"/>
          <w:highlight w:val="none"/>
          <w:lang w:eastAsia="zh-CN"/>
        </w:rPr>
        <w:t>。</w:t>
      </w:r>
    </w:p>
    <w:p>
      <w:pPr>
        <w:pStyle w:val="5"/>
        <w:snapToGrid/>
        <w:spacing w:line="360" w:lineRule="auto"/>
        <w:rPr>
          <w:rFonts w:eastAsia="仿宋_GB2312"/>
          <w:color w:val="000000"/>
          <w:sz w:val="24"/>
          <w:szCs w:val="24"/>
        </w:rPr>
      </w:pPr>
      <w:r>
        <w:rPr>
          <w:rFonts w:eastAsia="仿宋_GB2312"/>
          <w:color w:val="000000"/>
          <w:sz w:val="24"/>
          <w:szCs w:val="24"/>
        </w:rPr>
        <w:t>4.</w:t>
      </w:r>
      <w:r>
        <w:rPr>
          <w:rFonts w:hint="eastAsia" w:eastAsia="仿宋_GB2312"/>
          <w:color w:val="000000"/>
          <w:sz w:val="24"/>
          <w:szCs w:val="24"/>
        </w:rPr>
        <w:t>4</w:t>
      </w:r>
      <w:r>
        <w:rPr>
          <w:rFonts w:eastAsia="仿宋_GB2312"/>
          <w:color w:val="000000"/>
          <w:sz w:val="24"/>
          <w:szCs w:val="24"/>
        </w:rPr>
        <w:t>.3临时防治措施</w:t>
      </w:r>
    </w:p>
    <w:p>
      <w:pPr>
        <w:pStyle w:val="24"/>
      </w:pPr>
      <w:r>
        <w:t>本工程建设完工后，临时措施已全部拆除，结合现场跟踪监测调查及向施工单位调查了解，工程在建设过程中采取了相应的临时防护措施，一定程度上控制了水土流失危害。</w:t>
      </w:r>
    </w:p>
    <w:p>
      <w:pPr>
        <w:pStyle w:val="24"/>
      </w:pPr>
      <w:r>
        <w:t>综上所述，建设单位在工程中采取了相应的水土保持、生态恢复等措施以及管理措施，施工期没有对周边及下游造成严重水土流失危害，试运行期工程措施防护较好，植物措施需要进一步整改完善，加强植被管护，提高植被成活率</w:t>
      </w:r>
      <w:r>
        <w:rPr>
          <w:rFonts w:hint="eastAsia"/>
          <w:lang w:eastAsia="zh-CN"/>
        </w:rPr>
        <w:t>、</w:t>
      </w:r>
      <w:r>
        <w:t>覆盖率。</w:t>
      </w:r>
    </w:p>
    <w:p>
      <w:pPr>
        <w:pStyle w:val="3"/>
        <w:outlineLvl w:val="9"/>
        <w:rPr>
          <w:rFonts w:hint="default"/>
          <w:lang w:val="en-US" w:eastAsia="zh-CN"/>
        </w:rPr>
        <w:sectPr>
          <w:headerReference r:id="rId2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pPr>
      <w:bookmarkStart w:id="125" w:name="_Toc44318492"/>
      <w:bookmarkStart w:id="126" w:name="_Toc24070"/>
      <w:bookmarkStart w:id="127" w:name="_Toc25431"/>
      <w:r>
        <w:t>5 土壤流失情况监测</w:t>
      </w:r>
      <w:bookmarkEnd w:id="125"/>
      <w:bookmarkEnd w:id="126"/>
      <w:bookmarkEnd w:id="127"/>
    </w:p>
    <w:p>
      <w:pPr>
        <w:pStyle w:val="4"/>
      </w:pPr>
      <w:bookmarkStart w:id="128" w:name="_Toc6003"/>
      <w:bookmarkStart w:id="129" w:name="_Toc31678"/>
      <w:bookmarkStart w:id="130" w:name="_Toc44318493"/>
      <w:r>
        <w:t>5.1水土流失面积监测</w:t>
      </w:r>
      <w:bookmarkEnd w:id="128"/>
      <w:bookmarkEnd w:id="129"/>
      <w:bookmarkEnd w:id="130"/>
    </w:p>
    <w:p>
      <w:pPr>
        <w:pStyle w:val="5"/>
        <w:spacing w:line="360" w:lineRule="auto"/>
        <w:rPr>
          <w:rFonts w:eastAsia="仿宋_GB2312"/>
          <w:color w:val="000000"/>
          <w:sz w:val="24"/>
          <w:szCs w:val="24"/>
        </w:rPr>
      </w:pPr>
      <w:r>
        <w:rPr>
          <w:rFonts w:eastAsia="仿宋_GB2312"/>
          <w:color w:val="000000"/>
          <w:sz w:val="24"/>
          <w:szCs w:val="24"/>
        </w:rPr>
        <w:t>5.1.1施工准备期水土流失面积</w:t>
      </w:r>
    </w:p>
    <w:p>
      <w:pPr>
        <w:bidi w:val="0"/>
      </w:pPr>
      <w:r>
        <w:t>本工程施工前期占地类型为</w:t>
      </w:r>
      <w:r>
        <w:rPr>
          <w:rFonts w:hint="eastAsia"/>
          <w:lang w:val="en-US" w:eastAsia="zh-CN"/>
        </w:rPr>
        <w:t>耕地、园地、交通运输用地、林地等</w:t>
      </w:r>
      <w:r>
        <w:t>，根据工程征地图统计出本工程施工准备期水土流失面积为</w:t>
      </w:r>
      <w:r>
        <w:rPr>
          <w:rFonts w:hint="eastAsia"/>
          <w:lang w:eastAsia="zh-CN"/>
        </w:rPr>
        <w:t>0</w:t>
      </w:r>
      <w:r>
        <w:t>。</w:t>
      </w:r>
    </w:p>
    <w:p>
      <w:pPr>
        <w:pStyle w:val="5"/>
        <w:spacing w:before="120" w:beforeLines="50" w:line="360" w:lineRule="auto"/>
        <w:rPr>
          <w:rFonts w:eastAsia="仿宋_GB2312"/>
          <w:color w:val="000000"/>
          <w:sz w:val="24"/>
          <w:szCs w:val="24"/>
        </w:rPr>
      </w:pPr>
      <w:r>
        <w:rPr>
          <w:rFonts w:eastAsia="仿宋_GB2312"/>
          <w:color w:val="000000"/>
          <w:sz w:val="24"/>
          <w:szCs w:val="24"/>
        </w:rPr>
        <w:t>5.1.2施工期水土流失面积</w:t>
      </w:r>
    </w:p>
    <w:p>
      <w:r>
        <w:t>根据工程施工期间水土保持监测季度报告，本项目施工期实际扰动地表面积随着工程施工进度的推进不断变化，主要是施工面的扩大，在水土流失面积不断增加，至</w:t>
      </w:r>
      <w:r>
        <w:rPr>
          <w:rFonts w:hint="eastAsia"/>
          <w:lang w:val="en-US" w:eastAsia="zh-CN"/>
        </w:rPr>
        <w:t>2020</w:t>
      </w:r>
      <w:r>
        <w:t>年</w:t>
      </w:r>
      <w:r>
        <w:rPr>
          <w:rFonts w:hint="eastAsia"/>
          <w:lang w:val="en-US" w:eastAsia="zh-CN"/>
        </w:rPr>
        <w:t>4</w:t>
      </w:r>
      <w:r>
        <w:t>季度水土流失面积为</w:t>
      </w:r>
      <w:r>
        <w:rPr>
          <w:rFonts w:hint="eastAsia"/>
          <w:lang w:val="en-US" w:eastAsia="zh-CN"/>
        </w:rPr>
        <w:t>11.55</w:t>
      </w:r>
      <w:r>
        <w:t>hm</w:t>
      </w:r>
      <w:r>
        <w:rPr>
          <w:vertAlign w:val="superscript"/>
        </w:rPr>
        <w:t>2</w:t>
      </w:r>
      <w:r>
        <w:t>。</w:t>
      </w:r>
    </w:p>
    <w:p>
      <w:pPr>
        <w:pStyle w:val="5"/>
        <w:rPr>
          <w:rFonts w:eastAsia="仿宋_GB2312"/>
          <w:color w:val="000000"/>
        </w:rPr>
      </w:pPr>
      <w:r>
        <w:rPr>
          <w:rFonts w:eastAsia="仿宋_GB2312"/>
          <w:color w:val="000000"/>
        </w:rPr>
        <w:t>5.1.3试运行期水土流失面积</w:t>
      </w:r>
    </w:p>
    <w:p>
      <w:pPr>
        <w:bidi w:val="0"/>
      </w:pPr>
      <w:r>
        <w:rPr>
          <w:rFonts w:hint="eastAsia"/>
        </w:rPr>
        <w:t>通过实地调查，</w:t>
      </w:r>
      <w:r>
        <w:rPr>
          <w:rFonts w:hint="eastAsia"/>
          <w:lang w:val="en-US" w:eastAsia="zh-CN"/>
        </w:rPr>
        <w:t>主体工程</w:t>
      </w:r>
      <w:r>
        <w:rPr>
          <w:rFonts w:hint="eastAsia"/>
        </w:rPr>
        <w:t>已完工并进入自然恢复期，随着</w:t>
      </w:r>
      <w:r>
        <w:rPr>
          <w:rFonts w:hint="eastAsia"/>
          <w:lang w:val="en-US" w:eastAsia="zh-CN"/>
        </w:rPr>
        <w:t>项目区内</w:t>
      </w:r>
      <w:r>
        <w:rPr>
          <w:rFonts w:hint="eastAsia"/>
        </w:rPr>
        <w:t>各项水土保持不断发挥水土保持效益，项目区扰动地表或被硬化或采取乔灌草相结合绿化，水土流失强度基本处于土壤侵蚀强度容许值以内。</w:t>
      </w:r>
    </w:p>
    <w:p>
      <w:pPr>
        <w:pStyle w:val="4"/>
        <w:rPr>
          <w:color w:val="auto"/>
        </w:rPr>
      </w:pPr>
      <w:bookmarkStart w:id="131" w:name="_Toc44318494"/>
      <w:bookmarkStart w:id="132" w:name="_Toc12767"/>
      <w:bookmarkStart w:id="133" w:name="_Toc17606"/>
      <w:r>
        <w:rPr>
          <w:color w:val="auto"/>
        </w:rPr>
        <w:t>5.2各阶段土壤流失量分析</w:t>
      </w:r>
      <w:bookmarkEnd w:id="131"/>
      <w:bookmarkEnd w:id="132"/>
      <w:bookmarkEnd w:id="133"/>
    </w:p>
    <w:p>
      <w:pPr>
        <w:pStyle w:val="5"/>
        <w:spacing w:line="360" w:lineRule="auto"/>
        <w:rPr>
          <w:rFonts w:eastAsia="仿宋_GB2312"/>
          <w:color w:val="000000"/>
          <w:sz w:val="24"/>
          <w:szCs w:val="24"/>
        </w:rPr>
      </w:pPr>
      <w:bookmarkStart w:id="134" w:name="_Toc266129972"/>
      <w:bookmarkStart w:id="135" w:name="_Toc266890746"/>
      <w:bookmarkStart w:id="136" w:name="_Toc266040732"/>
      <w:bookmarkStart w:id="137" w:name="_Toc265917109"/>
      <w:r>
        <w:rPr>
          <w:rFonts w:eastAsia="仿宋_GB2312"/>
          <w:color w:val="000000"/>
          <w:sz w:val="24"/>
          <w:szCs w:val="24"/>
        </w:rPr>
        <w:t>5.2.1 土壤侵蚀背景值</w:t>
      </w:r>
      <w:bookmarkEnd w:id="134"/>
      <w:bookmarkEnd w:id="135"/>
      <w:bookmarkEnd w:id="136"/>
    </w:p>
    <w:bookmarkEnd w:id="137"/>
    <w:p>
      <w:pPr>
        <w:pStyle w:val="24"/>
      </w:pPr>
      <w:r>
        <w:t>土壤侵蚀背景值通过实地调查地面坡度、植被覆盖度等水土流失主要因子，结合《土壤侵蚀分类分级标准》（SL 190-2007）中面蚀（片蚀）分级标准</w:t>
      </w:r>
      <w:r>
        <w:rPr>
          <w:rFonts w:hint="eastAsia"/>
          <w:lang w:eastAsia="zh-CN"/>
        </w:rPr>
        <w:t>（</w:t>
      </w:r>
      <w:r>
        <w:t>见表5-</w:t>
      </w:r>
      <w:r>
        <w:rPr>
          <w:rFonts w:hint="eastAsia"/>
          <w:lang w:eastAsia="zh-CN"/>
        </w:rPr>
        <w:t>3）</w:t>
      </w:r>
      <w:r>
        <w:t>，调查项目区土壤侵蚀背景值。</w:t>
      </w:r>
    </w:p>
    <w:p>
      <w:r>
        <w:br w:type="page"/>
      </w:r>
    </w:p>
    <w:p>
      <w:pPr>
        <w:pStyle w:val="7"/>
        <w:bidi w:val="0"/>
      </w:pPr>
      <w:r>
        <w:t xml:space="preserve">表5.1- </w:t>
      </w:r>
      <w:r>
        <w:fldChar w:fldCharType="begin"/>
      </w:r>
      <w:r>
        <w:instrText xml:space="preserve"> SEQ 表5.1- \* ARABIC </w:instrText>
      </w:r>
      <w:r>
        <w:fldChar w:fldCharType="separate"/>
      </w:r>
      <w:r>
        <w:t>2</w:t>
      </w:r>
      <w:r>
        <w:fldChar w:fldCharType="end"/>
      </w:r>
      <w:r>
        <w:t>面蚀（片蚀）分级标准</w:t>
      </w:r>
    </w:p>
    <w:tbl>
      <w:tblPr>
        <w:tblStyle w:val="13"/>
        <w:tblW w:w="4998"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8" w:type="dxa"/>
          <w:bottom w:w="0" w:type="dxa"/>
          <w:right w:w="108" w:type="dxa"/>
        </w:tblCellMar>
      </w:tblPr>
      <w:tblGrid>
        <w:gridCol w:w="1106"/>
        <w:gridCol w:w="1266"/>
        <w:gridCol w:w="1177"/>
        <w:gridCol w:w="1251"/>
        <w:gridCol w:w="1263"/>
        <w:gridCol w:w="1251"/>
        <w:gridCol w:w="1205"/>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PrEx>
        <w:trPr>
          <w:trHeight w:val="397" w:hRule="atLeast"/>
          <w:jc w:val="center"/>
        </w:trPr>
        <w:tc>
          <w:tcPr>
            <w:tcW w:w="1393" w:type="pct"/>
            <w:gridSpan w:val="2"/>
            <w:tcBorders>
              <w:bottom w:val="single" w:color="auto" w:sz="4" w:space="0"/>
              <w:right w:val="single" w:color="auto" w:sz="4" w:space="0"/>
              <w:tl2br w:val="single" w:color="auto" w:sz="4" w:space="0"/>
            </w:tcBorders>
            <w:noWrap w:val="0"/>
            <w:vAlign w:val="center"/>
          </w:tcPr>
          <w:p>
            <w:pPr>
              <w:pStyle w:val="17"/>
              <w:bidi w:val="0"/>
            </w:pPr>
            <w:r>
              <w:t xml:space="preserve">                坡  度</w:t>
            </w:r>
          </w:p>
          <w:p>
            <w:pPr>
              <w:pStyle w:val="17"/>
              <w:bidi w:val="0"/>
            </w:pPr>
            <w:r>
              <w:t>地  类</w:t>
            </w:r>
          </w:p>
        </w:tc>
        <w:tc>
          <w:tcPr>
            <w:tcW w:w="691" w:type="pct"/>
            <w:tcBorders>
              <w:left w:val="single" w:color="auto" w:sz="4" w:space="0"/>
              <w:bottom w:val="single" w:color="auto" w:sz="4" w:space="0"/>
              <w:right w:val="single" w:color="auto" w:sz="4" w:space="0"/>
            </w:tcBorders>
            <w:noWrap w:val="0"/>
            <w:vAlign w:val="center"/>
          </w:tcPr>
          <w:p>
            <w:pPr>
              <w:pStyle w:val="17"/>
              <w:bidi w:val="0"/>
            </w:pPr>
            <w:r>
              <w:t>5～8°</w:t>
            </w:r>
          </w:p>
        </w:tc>
        <w:tc>
          <w:tcPr>
            <w:tcW w:w="734" w:type="pct"/>
            <w:tcBorders>
              <w:left w:val="single" w:color="auto" w:sz="4" w:space="0"/>
              <w:bottom w:val="single" w:color="auto" w:sz="4" w:space="0"/>
              <w:right w:val="single" w:color="auto" w:sz="4" w:space="0"/>
            </w:tcBorders>
            <w:noWrap w:val="0"/>
            <w:vAlign w:val="center"/>
          </w:tcPr>
          <w:p>
            <w:pPr>
              <w:pStyle w:val="17"/>
              <w:bidi w:val="0"/>
            </w:pPr>
            <w:r>
              <w:t>8～15°</w:t>
            </w:r>
          </w:p>
        </w:tc>
        <w:tc>
          <w:tcPr>
            <w:tcW w:w="741" w:type="pct"/>
            <w:tcBorders>
              <w:left w:val="single" w:color="auto" w:sz="4" w:space="0"/>
              <w:bottom w:val="single" w:color="auto" w:sz="4" w:space="0"/>
              <w:right w:val="single" w:color="auto" w:sz="4" w:space="0"/>
            </w:tcBorders>
            <w:noWrap w:val="0"/>
            <w:vAlign w:val="center"/>
          </w:tcPr>
          <w:p>
            <w:pPr>
              <w:pStyle w:val="17"/>
              <w:bidi w:val="0"/>
            </w:pPr>
            <w:r>
              <w:t>15～25°</w:t>
            </w:r>
          </w:p>
        </w:tc>
        <w:tc>
          <w:tcPr>
            <w:tcW w:w="734" w:type="pct"/>
            <w:tcBorders>
              <w:left w:val="single" w:color="auto" w:sz="4" w:space="0"/>
              <w:bottom w:val="single" w:color="auto" w:sz="4" w:space="0"/>
              <w:right w:val="single" w:color="auto" w:sz="4" w:space="0"/>
            </w:tcBorders>
            <w:noWrap w:val="0"/>
            <w:vAlign w:val="center"/>
          </w:tcPr>
          <w:p>
            <w:pPr>
              <w:pStyle w:val="17"/>
              <w:bidi w:val="0"/>
            </w:pPr>
            <w:r>
              <w:t>25~35°</w:t>
            </w:r>
          </w:p>
        </w:tc>
        <w:tc>
          <w:tcPr>
            <w:tcW w:w="703" w:type="pct"/>
            <w:tcBorders>
              <w:left w:val="single" w:color="auto" w:sz="4" w:space="0"/>
              <w:bottom w:val="single" w:color="auto" w:sz="4" w:space="0"/>
            </w:tcBorders>
            <w:noWrap w:val="0"/>
            <w:vAlign w:val="center"/>
          </w:tcPr>
          <w:p>
            <w:pPr>
              <w:pStyle w:val="17"/>
              <w:bidi w:val="0"/>
            </w:pPr>
            <w:r>
              <w:t>&gt;35°</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jc w:val="center"/>
        </w:trPr>
        <w:tc>
          <w:tcPr>
            <w:tcW w:w="650" w:type="pct"/>
            <w:vMerge w:val="restart"/>
            <w:tcBorders>
              <w:top w:val="single" w:color="auto" w:sz="4" w:space="0"/>
              <w:bottom w:val="single" w:color="auto" w:sz="4" w:space="0"/>
              <w:right w:val="single" w:color="auto" w:sz="4" w:space="0"/>
            </w:tcBorders>
            <w:noWrap w:val="0"/>
            <w:vAlign w:val="center"/>
          </w:tcPr>
          <w:p>
            <w:pPr>
              <w:pStyle w:val="17"/>
              <w:bidi w:val="0"/>
            </w:pPr>
            <w:r>
              <w:t>非耕地林草覆盖度（％）</w:t>
            </w:r>
          </w:p>
        </w:tc>
        <w:tc>
          <w:tcPr>
            <w:tcW w:w="742" w:type="pct"/>
            <w:tcBorders>
              <w:top w:val="single" w:color="auto" w:sz="4" w:space="0"/>
              <w:left w:val="single" w:color="auto" w:sz="4" w:space="0"/>
              <w:bottom w:val="single" w:color="auto" w:sz="4" w:space="0"/>
              <w:right w:val="single" w:color="auto" w:sz="4" w:space="0"/>
            </w:tcBorders>
            <w:noWrap w:val="0"/>
            <w:vAlign w:val="center"/>
          </w:tcPr>
          <w:p>
            <w:pPr>
              <w:pStyle w:val="17"/>
              <w:bidi w:val="0"/>
            </w:pPr>
            <w:r>
              <w:t>60～75</w:t>
            </w:r>
          </w:p>
        </w:tc>
        <w:tc>
          <w:tcPr>
            <w:tcW w:w="691" w:type="pct"/>
            <w:tcBorders>
              <w:top w:val="single" w:color="auto" w:sz="4" w:space="0"/>
              <w:left w:val="single" w:color="auto" w:sz="4" w:space="0"/>
            </w:tcBorders>
            <w:noWrap w:val="0"/>
            <w:vAlign w:val="center"/>
          </w:tcPr>
          <w:p>
            <w:pPr>
              <w:jc w:val="center"/>
              <w:rPr>
                <w:rFonts w:ascii="Times New Roman" w:hAnsi="Times New Roman" w:eastAsia="仿宋_GB2312"/>
                <w:color w:val="000000"/>
                <w:szCs w:val="21"/>
              </w:rPr>
            </w:pPr>
          </w:p>
        </w:tc>
        <w:tc>
          <w:tcPr>
            <w:tcW w:w="734" w:type="pct"/>
            <w:tcBorders>
              <w:top w:val="single" w:color="auto" w:sz="4" w:space="0"/>
            </w:tcBorders>
            <w:noWrap w:val="0"/>
            <w:vAlign w:val="center"/>
          </w:tcPr>
          <w:p>
            <w:pPr>
              <w:jc w:val="center"/>
              <w:rPr>
                <w:rFonts w:ascii="Times New Roman" w:hAnsi="Times New Roman" w:eastAsia="仿宋_GB2312"/>
                <w:color w:val="000000"/>
                <w:szCs w:val="21"/>
              </w:rPr>
            </w:pPr>
          </w:p>
        </w:tc>
        <w:tc>
          <w:tcPr>
            <w:tcW w:w="741" w:type="pct"/>
            <w:tcBorders>
              <w:top w:val="single" w:color="auto" w:sz="4" w:space="0"/>
              <w:bottom w:val="single" w:color="auto" w:sz="4" w:space="0"/>
              <w:right w:val="single" w:color="auto" w:sz="4" w:space="0"/>
            </w:tcBorders>
            <w:noWrap w:val="0"/>
            <w:vAlign w:val="center"/>
          </w:tcPr>
          <w:p>
            <w:pPr>
              <w:jc w:val="center"/>
              <w:rPr>
                <w:rFonts w:ascii="Times New Roman" w:hAnsi="Times New Roman" w:eastAsia="仿宋_GB2312"/>
                <w:color w:val="000000"/>
                <w:szCs w:val="21"/>
              </w:rPr>
            </w:pPr>
          </w:p>
        </w:tc>
        <w:tc>
          <w:tcPr>
            <w:tcW w:w="734" w:type="pct"/>
            <w:tcBorders>
              <w:top w:val="single" w:color="auto" w:sz="4" w:space="0"/>
              <w:left w:val="single" w:color="auto" w:sz="4" w:space="0"/>
            </w:tcBorders>
            <w:noWrap w:val="0"/>
            <w:vAlign w:val="center"/>
          </w:tcPr>
          <w:p>
            <w:pPr>
              <w:jc w:val="center"/>
              <w:rPr>
                <w:rFonts w:ascii="Times New Roman" w:hAnsi="Times New Roman" w:eastAsia="仿宋_GB2312"/>
                <w:color w:val="000000"/>
                <w:szCs w:val="21"/>
              </w:rPr>
            </w:pPr>
          </w:p>
        </w:tc>
        <w:tc>
          <w:tcPr>
            <w:tcW w:w="703" w:type="pct"/>
            <w:tcBorders>
              <w:top w:val="single" w:color="auto" w:sz="4" w:space="0"/>
              <w:bottom w:val="single" w:color="auto" w:sz="4" w:space="0"/>
            </w:tcBorders>
            <w:noWrap w:val="0"/>
            <w:vAlign w:val="center"/>
          </w:tcPr>
          <w:p>
            <w:pPr>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jc w:val="center"/>
        </w:trPr>
        <w:tc>
          <w:tcPr>
            <w:tcW w:w="650" w:type="pct"/>
            <w:vMerge w:val="continue"/>
            <w:tcBorders>
              <w:top w:val="single" w:color="auto" w:sz="4" w:space="0"/>
              <w:bottom w:val="single" w:color="auto" w:sz="4" w:space="0"/>
              <w:right w:val="single" w:color="auto" w:sz="4" w:space="0"/>
            </w:tcBorders>
            <w:noWrap w:val="0"/>
            <w:vAlign w:val="center"/>
          </w:tcPr>
          <w:p>
            <w:pPr>
              <w:pStyle w:val="17"/>
              <w:bidi w:val="0"/>
            </w:pPr>
          </w:p>
        </w:tc>
        <w:tc>
          <w:tcPr>
            <w:tcW w:w="742" w:type="pct"/>
            <w:tcBorders>
              <w:top w:val="single" w:color="auto" w:sz="4" w:space="0"/>
              <w:left w:val="single" w:color="auto" w:sz="4" w:space="0"/>
              <w:bottom w:val="single" w:color="auto" w:sz="4" w:space="0"/>
              <w:right w:val="single" w:color="auto" w:sz="4" w:space="0"/>
            </w:tcBorders>
            <w:noWrap w:val="0"/>
            <w:vAlign w:val="center"/>
          </w:tcPr>
          <w:p>
            <w:pPr>
              <w:pStyle w:val="17"/>
              <w:bidi w:val="0"/>
            </w:pPr>
            <w:r>
              <w:t>45～60</w:t>
            </w:r>
          </w:p>
        </w:tc>
        <w:tc>
          <w:tcPr>
            <w:tcW w:w="691" w:type="pct"/>
            <w:tcBorders>
              <w:left w:val="single" w:color="auto" w:sz="4" w:space="0"/>
            </w:tcBorders>
            <w:noWrap w:val="0"/>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轻</w:t>
            </w:r>
          </w:p>
        </w:tc>
        <w:tc>
          <w:tcPr>
            <w:tcW w:w="734" w:type="pct"/>
            <w:tcBorders>
              <w:bottom w:val="single" w:color="auto" w:sz="4" w:space="0"/>
              <w:right w:val="single" w:color="auto" w:sz="4" w:space="0"/>
            </w:tcBorders>
            <w:noWrap w:val="0"/>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度</w:t>
            </w:r>
          </w:p>
        </w:tc>
        <w:tc>
          <w:tcPr>
            <w:tcW w:w="741" w:type="pct"/>
            <w:tcBorders>
              <w:top w:val="single" w:color="auto" w:sz="4" w:space="0"/>
              <w:left w:val="single" w:color="auto" w:sz="4" w:space="0"/>
            </w:tcBorders>
            <w:noWrap w:val="0"/>
            <w:vAlign w:val="center"/>
          </w:tcPr>
          <w:p>
            <w:pPr>
              <w:jc w:val="center"/>
              <w:rPr>
                <w:rFonts w:ascii="Times New Roman" w:hAnsi="Times New Roman" w:eastAsia="仿宋_GB2312"/>
                <w:color w:val="000000"/>
                <w:szCs w:val="21"/>
              </w:rPr>
            </w:pPr>
          </w:p>
        </w:tc>
        <w:tc>
          <w:tcPr>
            <w:tcW w:w="734" w:type="pct"/>
            <w:tcBorders>
              <w:bottom w:val="single" w:color="auto" w:sz="4" w:space="0"/>
              <w:right w:val="single" w:color="auto" w:sz="4" w:space="0"/>
            </w:tcBorders>
            <w:noWrap w:val="0"/>
            <w:vAlign w:val="center"/>
          </w:tcPr>
          <w:p>
            <w:pPr>
              <w:jc w:val="center"/>
              <w:rPr>
                <w:rFonts w:ascii="Times New Roman" w:hAnsi="Times New Roman" w:eastAsia="仿宋_GB2312"/>
                <w:color w:val="000000"/>
                <w:szCs w:val="21"/>
              </w:rPr>
            </w:pPr>
          </w:p>
        </w:tc>
        <w:tc>
          <w:tcPr>
            <w:tcW w:w="703" w:type="pct"/>
            <w:tcBorders>
              <w:top w:val="single" w:color="auto" w:sz="4" w:space="0"/>
              <w:left w:val="single" w:color="auto" w:sz="4" w:space="0"/>
              <w:bottom w:val="single" w:color="auto" w:sz="4" w:space="0"/>
            </w:tcBorders>
            <w:noWrap w:val="0"/>
            <w:vAlign w:val="center"/>
          </w:tcPr>
          <w:p>
            <w:pPr>
              <w:pStyle w:val="17"/>
              <w:bidi w:val="0"/>
            </w:pPr>
            <w:r>
              <w:t>强烈</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jc w:val="center"/>
        </w:trPr>
        <w:tc>
          <w:tcPr>
            <w:tcW w:w="650" w:type="pct"/>
            <w:vMerge w:val="continue"/>
            <w:tcBorders>
              <w:top w:val="single" w:color="auto" w:sz="4" w:space="0"/>
              <w:bottom w:val="single" w:color="auto" w:sz="4" w:space="0"/>
              <w:right w:val="single" w:color="auto" w:sz="4" w:space="0"/>
            </w:tcBorders>
            <w:noWrap w:val="0"/>
            <w:vAlign w:val="center"/>
          </w:tcPr>
          <w:p>
            <w:pPr>
              <w:pStyle w:val="17"/>
              <w:bidi w:val="0"/>
            </w:pPr>
          </w:p>
        </w:tc>
        <w:tc>
          <w:tcPr>
            <w:tcW w:w="742" w:type="pct"/>
            <w:tcBorders>
              <w:top w:val="single" w:color="auto" w:sz="4" w:space="0"/>
              <w:left w:val="single" w:color="auto" w:sz="4" w:space="0"/>
              <w:bottom w:val="single" w:color="auto" w:sz="4" w:space="0"/>
              <w:right w:val="single" w:color="auto" w:sz="4" w:space="0"/>
            </w:tcBorders>
            <w:noWrap w:val="0"/>
            <w:vAlign w:val="center"/>
          </w:tcPr>
          <w:p>
            <w:pPr>
              <w:pStyle w:val="17"/>
              <w:bidi w:val="0"/>
            </w:pPr>
            <w:r>
              <w:t>30～45</w:t>
            </w:r>
          </w:p>
        </w:tc>
        <w:tc>
          <w:tcPr>
            <w:tcW w:w="691" w:type="pct"/>
            <w:tcBorders>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color w:val="000000"/>
                <w:szCs w:val="21"/>
              </w:rPr>
            </w:pPr>
          </w:p>
        </w:tc>
        <w:tc>
          <w:tcPr>
            <w:tcW w:w="734" w:type="pct"/>
            <w:tcBorders>
              <w:top w:val="single" w:color="auto" w:sz="4" w:space="0"/>
              <w:left w:val="single" w:color="auto" w:sz="4" w:space="0"/>
            </w:tcBorders>
            <w:noWrap w:val="0"/>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中</w:t>
            </w:r>
          </w:p>
        </w:tc>
        <w:tc>
          <w:tcPr>
            <w:tcW w:w="741" w:type="pct"/>
            <w:tcBorders>
              <w:bottom w:val="single" w:color="auto" w:sz="4" w:space="0"/>
              <w:right w:val="single" w:color="auto" w:sz="4" w:space="0"/>
            </w:tcBorders>
            <w:noWrap w:val="0"/>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度</w:t>
            </w:r>
          </w:p>
        </w:tc>
        <w:tc>
          <w:tcPr>
            <w:tcW w:w="734" w:type="pct"/>
            <w:tcBorders>
              <w:top w:val="single" w:color="auto" w:sz="4" w:space="0"/>
              <w:left w:val="single" w:color="auto" w:sz="4" w:space="0"/>
              <w:bottom w:val="single" w:color="auto" w:sz="4" w:space="0"/>
              <w:right w:val="single" w:color="auto" w:sz="4" w:space="0"/>
            </w:tcBorders>
            <w:noWrap w:val="0"/>
            <w:vAlign w:val="center"/>
          </w:tcPr>
          <w:p>
            <w:pPr>
              <w:pStyle w:val="17"/>
              <w:bidi w:val="0"/>
            </w:pPr>
            <w:r>
              <w:t>强度</w:t>
            </w:r>
          </w:p>
        </w:tc>
        <w:tc>
          <w:tcPr>
            <w:tcW w:w="703" w:type="pct"/>
            <w:tcBorders>
              <w:top w:val="single" w:color="auto" w:sz="4" w:space="0"/>
              <w:left w:val="single" w:color="auto" w:sz="4" w:space="0"/>
              <w:bottom w:val="single" w:color="auto" w:sz="4" w:space="0"/>
            </w:tcBorders>
            <w:noWrap w:val="0"/>
            <w:vAlign w:val="center"/>
          </w:tcPr>
          <w:p>
            <w:pPr>
              <w:pStyle w:val="17"/>
              <w:bidi w:val="0"/>
            </w:pPr>
            <w:r>
              <w:t>极强烈</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jc w:val="center"/>
        </w:trPr>
        <w:tc>
          <w:tcPr>
            <w:tcW w:w="650" w:type="pct"/>
            <w:vMerge w:val="continue"/>
            <w:tcBorders>
              <w:top w:val="single" w:color="auto" w:sz="4" w:space="0"/>
              <w:bottom w:val="single" w:color="auto" w:sz="4" w:space="0"/>
              <w:right w:val="single" w:color="auto" w:sz="4" w:space="0"/>
            </w:tcBorders>
            <w:noWrap w:val="0"/>
            <w:vAlign w:val="center"/>
          </w:tcPr>
          <w:p>
            <w:pPr>
              <w:pStyle w:val="17"/>
              <w:bidi w:val="0"/>
            </w:pPr>
          </w:p>
        </w:tc>
        <w:tc>
          <w:tcPr>
            <w:tcW w:w="742" w:type="pct"/>
            <w:tcBorders>
              <w:top w:val="single" w:color="auto" w:sz="4" w:space="0"/>
              <w:left w:val="single" w:color="auto" w:sz="4" w:space="0"/>
              <w:bottom w:val="single" w:color="auto" w:sz="4" w:space="0"/>
              <w:right w:val="single" w:color="auto" w:sz="4" w:space="0"/>
            </w:tcBorders>
            <w:noWrap w:val="0"/>
            <w:vAlign w:val="center"/>
          </w:tcPr>
          <w:p>
            <w:pPr>
              <w:pStyle w:val="17"/>
              <w:bidi w:val="0"/>
            </w:pPr>
            <w:r>
              <w:t>&lt;30</w:t>
            </w:r>
          </w:p>
        </w:tc>
        <w:tc>
          <w:tcPr>
            <w:tcW w:w="691" w:type="pct"/>
            <w:tcBorders>
              <w:top w:val="single" w:color="auto" w:sz="4" w:space="0"/>
              <w:left w:val="single" w:color="auto" w:sz="4" w:space="0"/>
              <w:bottom w:val="single" w:color="auto" w:sz="4" w:space="0"/>
            </w:tcBorders>
            <w:noWrap w:val="0"/>
            <w:vAlign w:val="center"/>
          </w:tcPr>
          <w:p>
            <w:pPr>
              <w:jc w:val="center"/>
              <w:rPr>
                <w:rFonts w:ascii="Times New Roman" w:hAnsi="Times New Roman" w:eastAsia="仿宋_GB2312"/>
                <w:color w:val="000000"/>
                <w:szCs w:val="21"/>
              </w:rPr>
            </w:pPr>
          </w:p>
        </w:tc>
        <w:tc>
          <w:tcPr>
            <w:tcW w:w="734" w:type="pct"/>
            <w:tcBorders>
              <w:bottom w:val="single" w:color="auto" w:sz="4" w:space="0"/>
              <w:right w:val="single" w:color="auto" w:sz="4" w:space="0"/>
            </w:tcBorders>
            <w:noWrap w:val="0"/>
            <w:vAlign w:val="center"/>
          </w:tcPr>
          <w:p>
            <w:pPr>
              <w:jc w:val="center"/>
              <w:rPr>
                <w:rFonts w:ascii="Times New Roman" w:hAnsi="Times New Roman" w:eastAsia="仿宋_GB2312"/>
                <w:color w:val="000000"/>
                <w:szCs w:val="21"/>
              </w:rPr>
            </w:pPr>
          </w:p>
        </w:tc>
        <w:tc>
          <w:tcPr>
            <w:tcW w:w="741" w:type="pct"/>
            <w:vMerge w:val="restart"/>
            <w:tcBorders>
              <w:top w:val="single" w:color="auto" w:sz="4" w:space="0"/>
              <w:left w:val="single" w:color="auto" w:sz="4" w:space="0"/>
              <w:bottom w:val="single" w:color="auto" w:sz="4" w:space="0"/>
              <w:right w:val="single" w:color="auto" w:sz="4" w:space="0"/>
            </w:tcBorders>
            <w:noWrap w:val="0"/>
            <w:vAlign w:val="center"/>
          </w:tcPr>
          <w:p>
            <w:pPr>
              <w:pStyle w:val="17"/>
              <w:bidi w:val="0"/>
            </w:pPr>
            <w:r>
              <w:t>强度</w:t>
            </w:r>
          </w:p>
        </w:tc>
        <w:tc>
          <w:tcPr>
            <w:tcW w:w="734" w:type="pct"/>
            <w:vMerge w:val="restart"/>
            <w:tcBorders>
              <w:top w:val="single" w:color="auto" w:sz="4" w:space="0"/>
              <w:left w:val="single" w:color="auto" w:sz="4" w:space="0"/>
              <w:bottom w:val="single" w:color="auto" w:sz="4" w:space="0"/>
              <w:right w:val="single" w:color="auto" w:sz="4" w:space="0"/>
            </w:tcBorders>
            <w:noWrap w:val="0"/>
            <w:vAlign w:val="center"/>
          </w:tcPr>
          <w:p>
            <w:pPr>
              <w:pStyle w:val="17"/>
              <w:bidi w:val="0"/>
            </w:pPr>
            <w:r>
              <w:t>极强烈</w:t>
            </w:r>
          </w:p>
        </w:tc>
        <w:tc>
          <w:tcPr>
            <w:tcW w:w="703" w:type="pct"/>
            <w:vMerge w:val="restart"/>
            <w:tcBorders>
              <w:top w:val="single" w:color="auto" w:sz="4" w:space="0"/>
              <w:left w:val="single" w:color="auto" w:sz="4" w:space="0"/>
              <w:bottom w:val="single" w:color="auto" w:sz="4" w:space="0"/>
            </w:tcBorders>
            <w:noWrap w:val="0"/>
            <w:vAlign w:val="center"/>
          </w:tcPr>
          <w:p>
            <w:pPr>
              <w:pStyle w:val="17"/>
              <w:bidi w:val="0"/>
            </w:pPr>
            <w:r>
              <w:t>剧烈</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jc w:val="center"/>
        </w:trPr>
        <w:tc>
          <w:tcPr>
            <w:tcW w:w="1393" w:type="pct"/>
            <w:gridSpan w:val="2"/>
            <w:tcBorders>
              <w:top w:val="single" w:color="auto" w:sz="4" w:space="0"/>
              <w:bottom w:val="single" w:color="auto" w:sz="4" w:space="0"/>
              <w:right w:val="single" w:color="auto" w:sz="4" w:space="0"/>
            </w:tcBorders>
            <w:noWrap w:val="0"/>
            <w:vAlign w:val="center"/>
          </w:tcPr>
          <w:p>
            <w:pPr>
              <w:pStyle w:val="17"/>
              <w:bidi w:val="0"/>
            </w:pPr>
            <w:r>
              <w:t>坡耕地</w:t>
            </w:r>
          </w:p>
        </w:tc>
        <w:tc>
          <w:tcPr>
            <w:tcW w:w="691" w:type="pct"/>
            <w:tcBorders>
              <w:top w:val="single" w:color="auto" w:sz="4" w:space="0"/>
              <w:left w:val="single" w:color="auto" w:sz="4" w:space="0"/>
              <w:bottom w:val="single" w:color="auto" w:sz="4" w:space="0"/>
              <w:right w:val="single" w:color="auto" w:sz="4" w:space="0"/>
            </w:tcBorders>
            <w:noWrap w:val="0"/>
            <w:vAlign w:val="center"/>
          </w:tcPr>
          <w:p>
            <w:pPr>
              <w:pStyle w:val="17"/>
              <w:bidi w:val="0"/>
            </w:pPr>
            <w:r>
              <w:t>轻度</w:t>
            </w:r>
          </w:p>
        </w:tc>
        <w:tc>
          <w:tcPr>
            <w:tcW w:w="734" w:type="pct"/>
            <w:tcBorders>
              <w:top w:val="single" w:color="auto" w:sz="4" w:space="0"/>
              <w:left w:val="single" w:color="auto" w:sz="4" w:space="0"/>
              <w:bottom w:val="single" w:color="auto" w:sz="4" w:space="0"/>
              <w:right w:val="single" w:color="auto" w:sz="4" w:space="0"/>
            </w:tcBorders>
            <w:noWrap w:val="0"/>
            <w:vAlign w:val="center"/>
          </w:tcPr>
          <w:p>
            <w:pPr>
              <w:pStyle w:val="17"/>
              <w:bidi w:val="0"/>
            </w:pPr>
            <w:r>
              <w:t>中度</w:t>
            </w:r>
          </w:p>
        </w:tc>
        <w:tc>
          <w:tcPr>
            <w:tcW w:w="741" w:type="pct"/>
            <w:vMerge w:val="continue"/>
            <w:tcBorders>
              <w:left w:val="single" w:color="auto" w:sz="4" w:space="0"/>
              <w:bottom w:val="single" w:color="auto" w:sz="4" w:space="0"/>
              <w:right w:val="single" w:color="auto" w:sz="4" w:space="0"/>
            </w:tcBorders>
            <w:noWrap w:val="0"/>
            <w:vAlign w:val="center"/>
          </w:tcPr>
          <w:p>
            <w:pPr>
              <w:pStyle w:val="17"/>
              <w:bidi w:val="0"/>
            </w:pPr>
          </w:p>
        </w:tc>
        <w:tc>
          <w:tcPr>
            <w:tcW w:w="734" w:type="pct"/>
            <w:vMerge w:val="continue"/>
            <w:tcBorders>
              <w:left w:val="single" w:color="auto" w:sz="4" w:space="0"/>
              <w:bottom w:val="single" w:color="auto" w:sz="4" w:space="0"/>
              <w:right w:val="single" w:color="auto" w:sz="4" w:space="0"/>
            </w:tcBorders>
            <w:noWrap w:val="0"/>
            <w:vAlign w:val="center"/>
          </w:tcPr>
          <w:p>
            <w:pPr>
              <w:pStyle w:val="17"/>
              <w:bidi w:val="0"/>
            </w:pPr>
          </w:p>
        </w:tc>
        <w:tc>
          <w:tcPr>
            <w:tcW w:w="703" w:type="pct"/>
            <w:vMerge w:val="continue"/>
            <w:tcBorders>
              <w:left w:val="single" w:color="auto" w:sz="4" w:space="0"/>
              <w:bottom w:val="single" w:color="auto" w:sz="4" w:space="0"/>
            </w:tcBorders>
            <w:noWrap w:val="0"/>
            <w:vAlign w:val="center"/>
          </w:tcPr>
          <w:p>
            <w:pPr>
              <w:pStyle w:val="17"/>
              <w:bidi w:val="0"/>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PrEx>
        <w:trPr>
          <w:trHeight w:val="1075" w:hRule="atLeast"/>
          <w:jc w:val="center"/>
        </w:trPr>
        <w:tc>
          <w:tcPr>
            <w:tcW w:w="5000" w:type="pct"/>
            <w:gridSpan w:val="7"/>
            <w:tcBorders>
              <w:top w:val="single" w:color="auto" w:sz="4" w:space="0"/>
            </w:tcBorders>
            <w:noWrap w:val="0"/>
            <w:vAlign w:val="center"/>
          </w:tcPr>
          <w:p>
            <w:pPr>
              <w:pStyle w:val="17"/>
              <w:bidi w:val="0"/>
            </w:pPr>
            <w:r>
              <w:t>注：土壤侵蚀模数（t/km</w:t>
            </w:r>
            <w:r>
              <w:rPr>
                <w:vertAlign w:val="superscript"/>
              </w:rPr>
              <w:t>2</w:t>
            </w:r>
            <w:r>
              <w:t>.a）：轻度500、中度2500～5000、强度5000～8000、极强度8000～15000、剧烈&gt;15000。低于轻度指标时称为微度，不计入水土流失面积。</w:t>
            </w:r>
          </w:p>
        </w:tc>
      </w:tr>
    </w:tbl>
    <w:p>
      <w:pPr>
        <w:pStyle w:val="24"/>
      </w:pPr>
      <w:r>
        <w:t>通过现场勘查以及查阅资料，项目区施工前以林地、耕地</w:t>
      </w:r>
      <w:r>
        <w:rPr>
          <w:rFonts w:hint="eastAsia"/>
          <w:lang w:eastAsia="zh-CN"/>
        </w:rPr>
        <w:t>、</w:t>
      </w:r>
      <w:r>
        <w:rPr>
          <w:rFonts w:hint="eastAsia"/>
          <w:lang w:val="en-US" w:eastAsia="zh-CN"/>
        </w:rPr>
        <w:t>草地及建设用地</w:t>
      </w:r>
      <w:r>
        <w:t>为主，原地形图量测地面坡度</w:t>
      </w:r>
      <w:r>
        <w:rPr>
          <w:rFonts w:hint="eastAsia"/>
          <w:lang w:val="en-US" w:eastAsia="zh-CN"/>
        </w:rPr>
        <w:t>2</w:t>
      </w:r>
      <w:r>
        <w:t>～</w:t>
      </w:r>
      <w:r>
        <w:rPr>
          <w:rFonts w:hint="eastAsia"/>
          <w:lang w:val="en-US" w:eastAsia="zh-CN"/>
        </w:rPr>
        <w:t>6</w:t>
      </w:r>
      <w:r>
        <w:t>°，现场调查项目附近未扰动区域植被情况，植被覆盖度约</w:t>
      </w:r>
      <w:r>
        <w:rPr>
          <w:rFonts w:hint="eastAsia"/>
          <w:lang w:val="en-US" w:eastAsia="zh-CN"/>
        </w:rPr>
        <w:t>57</w:t>
      </w:r>
      <w:r>
        <w:t xml:space="preserve">%，结合表5.1- </w:t>
      </w:r>
      <w:r>
        <w:fldChar w:fldCharType="begin"/>
      </w:r>
      <w:r>
        <w:instrText xml:space="preserve"> SEQ 表5.1- \* ARABIC </w:instrText>
      </w:r>
      <w:r>
        <w:fldChar w:fldCharType="separate"/>
      </w:r>
      <w:r>
        <w:t>2</w:t>
      </w:r>
      <w:r>
        <w:fldChar w:fldCharType="end"/>
      </w:r>
      <w:r>
        <w:t>，项目区原地貌属无明显侵蚀现象，土壤侵蚀模数500t/km</w:t>
      </w:r>
      <w:r>
        <w:rPr>
          <w:vertAlign w:val="superscript"/>
        </w:rPr>
        <w:t>2</w:t>
      </w:r>
      <w:r>
        <w:t>.a。</w:t>
      </w:r>
    </w:p>
    <w:p>
      <w:pPr>
        <w:pStyle w:val="5"/>
        <w:spacing w:line="360" w:lineRule="auto"/>
        <w:rPr>
          <w:rFonts w:eastAsia="仿宋_GB2312"/>
          <w:color w:val="000000"/>
          <w:sz w:val="24"/>
          <w:szCs w:val="24"/>
        </w:rPr>
      </w:pPr>
      <w:r>
        <w:rPr>
          <w:rFonts w:eastAsia="仿宋_GB2312"/>
          <w:color w:val="000000"/>
          <w:sz w:val="24"/>
          <w:szCs w:val="24"/>
        </w:rPr>
        <w:t>5.2.</w:t>
      </w:r>
      <w:r>
        <w:rPr>
          <w:rFonts w:hint="eastAsia" w:eastAsia="仿宋_GB2312"/>
          <w:color w:val="000000"/>
          <w:sz w:val="24"/>
          <w:szCs w:val="24"/>
          <w:lang w:val="en-US" w:eastAsia="zh-CN"/>
        </w:rPr>
        <w:t>2</w:t>
      </w:r>
      <w:r>
        <w:rPr>
          <w:rFonts w:hint="eastAsia" w:eastAsia="仿宋_GB2312"/>
          <w:color w:val="000000"/>
          <w:sz w:val="24"/>
          <w:szCs w:val="24"/>
        </w:rPr>
        <w:t>施工期间土壤流失量</w:t>
      </w:r>
    </w:p>
    <w:p>
      <w:pPr>
        <w:bidi w:val="0"/>
        <w:rPr>
          <w:highlight w:val="none"/>
        </w:rPr>
      </w:pPr>
      <w:r>
        <w:rPr>
          <w:rFonts w:hint="eastAsia"/>
        </w:rPr>
        <w:t>根据工程建设实际情况以及现场监测、查阅施工资料得到的扰动面积等资料，结合《广东省第四次水土流失遥感普查成果报告》（2013年8月）综合分析项目建设期的水土流失</w:t>
      </w:r>
      <w:r>
        <w:rPr>
          <w:rFonts w:hint="eastAsia"/>
          <w:highlight w:val="none"/>
        </w:rPr>
        <w:t>情况，分析不同阶段项目各分区水土流失强度。</w:t>
      </w:r>
    </w:p>
    <w:p>
      <w:pPr>
        <w:bidi w:val="0"/>
      </w:pPr>
      <w:r>
        <w:rPr>
          <w:rFonts w:hint="eastAsia"/>
          <w:highlight w:val="none"/>
        </w:rPr>
        <w:t>本期工程施工时段为</w:t>
      </w:r>
      <w:r>
        <w:rPr>
          <w:rFonts w:hint="eastAsia"/>
          <w:highlight w:val="none"/>
          <w:lang w:val="en-US" w:eastAsia="zh-CN"/>
        </w:rPr>
        <w:t>2017</w:t>
      </w:r>
      <w:r>
        <w:rPr>
          <w:rFonts w:hint="eastAsia"/>
          <w:highlight w:val="none"/>
        </w:rPr>
        <w:t>年</w:t>
      </w:r>
      <w:r>
        <w:rPr>
          <w:rFonts w:hint="eastAsia"/>
          <w:highlight w:val="none"/>
          <w:lang w:val="en-US" w:eastAsia="zh-CN"/>
        </w:rPr>
        <w:t>6</w:t>
      </w:r>
      <w:r>
        <w:rPr>
          <w:rFonts w:hint="eastAsia"/>
          <w:highlight w:val="none"/>
        </w:rPr>
        <w:t>月至</w:t>
      </w:r>
      <w:r>
        <w:rPr>
          <w:rFonts w:hint="eastAsia"/>
          <w:highlight w:val="none"/>
          <w:lang w:val="en-US" w:eastAsia="zh-CN"/>
        </w:rPr>
        <w:t>2020</w:t>
      </w:r>
      <w:r>
        <w:rPr>
          <w:rFonts w:hint="eastAsia"/>
          <w:highlight w:val="none"/>
        </w:rPr>
        <w:t>年1</w:t>
      </w:r>
      <w:r>
        <w:rPr>
          <w:rFonts w:hint="eastAsia"/>
          <w:highlight w:val="none"/>
          <w:lang w:val="en-US" w:eastAsia="zh-CN"/>
        </w:rPr>
        <w:t>2</w:t>
      </w:r>
      <w:r>
        <w:rPr>
          <w:rFonts w:hint="eastAsia"/>
          <w:highlight w:val="none"/>
        </w:rPr>
        <w:t>月，由于开始进场监测时主体工程已完工，无法对施工期土壤流失量进行实地监测</w:t>
      </w:r>
      <w:r>
        <w:rPr>
          <w:rFonts w:hint="eastAsia"/>
        </w:rPr>
        <w:t>。</w:t>
      </w:r>
    </w:p>
    <w:p>
      <w:pPr>
        <w:pStyle w:val="5"/>
        <w:spacing w:line="360" w:lineRule="auto"/>
        <w:rPr>
          <w:rFonts w:eastAsia="仿宋_GB2312"/>
          <w:color w:val="000000"/>
          <w:sz w:val="24"/>
          <w:szCs w:val="24"/>
        </w:rPr>
      </w:pPr>
      <w:r>
        <w:rPr>
          <w:rFonts w:eastAsia="仿宋_GB2312"/>
          <w:color w:val="000000"/>
          <w:sz w:val="24"/>
          <w:szCs w:val="24"/>
        </w:rPr>
        <w:t>5.2.</w:t>
      </w:r>
      <w:r>
        <w:rPr>
          <w:rFonts w:hint="eastAsia"/>
          <w:color w:val="000000"/>
          <w:sz w:val="24"/>
          <w:szCs w:val="24"/>
          <w:lang w:val="en-US" w:eastAsia="zh-CN"/>
        </w:rPr>
        <w:t>3</w:t>
      </w:r>
      <w:r>
        <w:rPr>
          <w:rFonts w:hint="eastAsia" w:eastAsia="仿宋_GB2312"/>
          <w:color w:val="000000"/>
          <w:sz w:val="24"/>
          <w:szCs w:val="24"/>
        </w:rPr>
        <w:t>自然恢复期间土壤流失量</w:t>
      </w:r>
    </w:p>
    <w:p>
      <w:pPr>
        <w:bidi w:val="0"/>
      </w:pPr>
      <w:r>
        <w:rPr>
          <w:rFonts w:hint="eastAsia"/>
        </w:rPr>
        <w:t>目前，本期工程已进入自然恢复期，由于调查时间太短，无法获取较准确的土壤流失量。进场监测后，主要是对本期工程的扰动土地面积、水土保持防治措施实施工程量及其防治效果、取弃土情况、水土流失危害等进行调查监测。</w:t>
      </w:r>
    </w:p>
    <w:p>
      <w:pPr>
        <w:pStyle w:val="4"/>
      </w:pPr>
      <w:bookmarkStart w:id="138" w:name="_Toc483557869"/>
      <w:bookmarkStart w:id="139" w:name="_Toc482352130"/>
      <w:bookmarkStart w:id="140" w:name="_Toc29731"/>
      <w:bookmarkStart w:id="141" w:name="_Toc44318495"/>
      <w:bookmarkStart w:id="142" w:name="_Toc483558194"/>
      <w:bookmarkStart w:id="143" w:name="_Toc456473063"/>
      <w:bookmarkStart w:id="144" w:name="_Toc16818"/>
      <w:bookmarkStart w:id="145" w:name="_Toc482006609"/>
      <w:bookmarkStart w:id="146" w:name="_Toc454346148"/>
      <w:r>
        <w:t>5.3水土流失危害</w:t>
      </w:r>
      <w:bookmarkEnd w:id="138"/>
      <w:bookmarkEnd w:id="139"/>
      <w:bookmarkEnd w:id="140"/>
      <w:bookmarkEnd w:id="141"/>
      <w:bookmarkEnd w:id="142"/>
      <w:bookmarkEnd w:id="143"/>
      <w:bookmarkEnd w:id="144"/>
      <w:bookmarkEnd w:id="145"/>
      <w:bookmarkEnd w:id="146"/>
    </w:p>
    <w:p>
      <w:pPr>
        <w:pStyle w:val="24"/>
      </w:pPr>
      <w:r>
        <w:t>工程在实施过程中，采取了</w:t>
      </w:r>
      <w:r>
        <w:rPr>
          <w:rFonts w:hint="eastAsia"/>
          <w:lang w:eastAsia="zh-CN"/>
        </w:rPr>
        <w:t>必要</w:t>
      </w:r>
      <w:r>
        <w:t>的临时防护措施进行防护，</w:t>
      </w:r>
      <w:r>
        <w:rPr>
          <w:rFonts w:hint="eastAsia"/>
          <w:lang w:eastAsia="zh-CN"/>
        </w:rPr>
        <w:t>主体</w:t>
      </w:r>
      <w:r>
        <w:t>工程区及时落实</w:t>
      </w:r>
      <w:r>
        <w:rPr>
          <w:rFonts w:hint="eastAsia"/>
          <w:lang w:eastAsia="zh-CN"/>
        </w:rPr>
        <w:t>排水工程</w:t>
      </w:r>
      <w:r>
        <w:t>、</w:t>
      </w:r>
      <w:r>
        <w:rPr>
          <w:rFonts w:hint="eastAsia"/>
          <w:lang w:eastAsia="zh-CN"/>
        </w:rPr>
        <w:t>绿化工程</w:t>
      </w:r>
      <w:r>
        <w:t>等措施，</w:t>
      </w:r>
      <w:r>
        <w:rPr>
          <w:rFonts w:hint="eastAsia"/>
          <w:lang w:eastAsia="zh-CN"/>
        </w:rPr>
        <w:t>施工临建区及时</w:t>
      </w:r>
      <w:r>
        <w:t>拆除并恢复植被，各项措施均能很好的控制项目区水土流失现象，施工过程中没有发生水土流失危害事件。</w:t>
      </w:r>
    </w:p>
    <w:p>
      <w:pPr>
        <w:pStyle w:val="24"/>
        <w:rPr>
          <w:rFonts w:hint="default"/>
          <w:color w:val="auto"/>
          <w:lang w:val="en-US" w:eastAsia="zh-CN"/>
        </w:rPr>
      </w:pPr>
    </w:p>
    <w:p>
      <w:pPr>
        <w:pStyle w:val="24"/>
        <w:rPr>
          <w:rFonts w:hint="default"/>
          <w:color w:val="auto"/>
          <w:lang w:val="en-US" w:eastAsia="zh-CN"/>
        </w:rPr>
        <w:sectPr>
          <w:headerReference r:id="rId2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pPr>
      <w:bookmarkStart w:id="147" w:name="_Toc44318496"/>
      <w:bookmarkStart w:id="148" w:name="_Toc298858020"/>
      <w:bookmarkStart w:id="149" w:name="_Toc7011"/>
      <w:bookmarkStart w:id="150" w:name="_Toc247706052"/>
      <w:bookmarkStart w:id="151" w:name="_Toc17184"/>
      <w:r>
        <w:t>6 水土流失防治效果监测结果</w:t>
      </w:r>
      <w:bookmarkEnd w:id="147"/>
      <w:bookmarkEnd w:id="148"/>
      <w:bookmarkEnd w:id="149"/>
      <w:bookmarkEnd w:id="150"/>
      <w:bookmarkEnd w:id="151"/>
    </w:p>
    <w:p>
      <w:pPr>
        <w:pStyle w:val="4"/>
      </w:pPr>
      <w:bookmarkStart w:id="152" w:name="_Toc44318497"/>
      <w:bookmarkStart w:id="153" w:name="_Toc2463"/>
      <w:bookmarkStart w:id="154" w:name="_Toc298858021"/>
      <w:bookmarkStart w:id="155" w:name="_Toc16255"/>
      <w:r>
        <w:t>6.1 防治指标标准值</w:t>
      </w:r>
      <w:bookmarkEnd w:id="152"/>
      <w:bookmarkEnd w:id="153"/>
      <w:bookmarkEnd w:id="154"/>
      <w:bookmarkEnd w:id="155"/>
    </w:p>
    <w:p>
      <w:pPr>
        <w:pStyle w:val="24"/>
      </w:pPr>
      <w:r>
        <w:t>水土流失防治效益监测指实施水土保持措施后，水土流失控制和景观改善的效果，是否满足开发建设项目水土流失防治标准的要求。主要通过随机抽取样方实施调查监测，根据监测数据计算工程的扰动土地整治率、水土流失总治理度、拦渣率、土壤流失控制比、林草植被恢复率、林草覆盖率等防治指标，是否达到已批复的水保方案和批复文件要求以及国家和地方的有关技术标准。已批复的水土保持方案中确定的防治目标值见</w:t>
      </w:r>
      <w:r>
        <w:rPr>
          <w:rFonts w:hint="default"/>
          <w:lang w:val="en-US"/>
        </w:rPr>
        <w:fldChar w:fldCharType="begin"/>
      </w:r>
      <w:r>
        <w:rPr>
          <w:rFonts w:hint="default"/>
          <w:lang w:val="en-US"/>
        </w:rPr>
        <w:instrText xml:space="preserve"> REF _Ref29288 \h </w:instrText>
      </w:r>
      <w:r>
        <w:rPr>
          <w:rFonts w:hint="default"/>
          <w:lang w:val="en-US"/>
        </w:rPr>
        <w:fldChar w:fldCharType="separate"/>
      </w:r>
      <w:r>
        <w:t>表6.1- 1</w:t>
      </w:r>
      <w:r>
        <w:rPr>
          <w:rFonts w:hint="default"/>
          <w:lang w:val="en-US"/>
        </w:rPr>
        <w:fldChar w:fldCharType="end"/>
      </w:r>
      <w:r>
        <w:t>。</w:t>
      </w:r>
    </w:p>
    <w:p>
      <w:pPr>
        <w:pStyle w:val="7"/>
        <w:bidi w:val="0"/>
      </w:pPr>
      <w:bookmarkStart w:id="156" w:name="_Ref29288"/>
      <w:r>
        <w:t xml:space="preserve">表6.1- </w:t>
      </w:r>
      <w:r>
        <w:fldChar w:fldCharType="begin"/>
      </w:r>
      <w:r>
        <w:instrText xml:space="preserve"> SEQ 表6.1- \* ARABIC </w:instrText>
      </w:r>
      <w:r>
        <w:fldChar w:fldCharType="separate"/>
      </w:r>
      <w:r>
        <w:t>1</w:t>
      </w:r>
      <w:r>
        <w:fldChar w:fldCharType="end"/>
      </w:r>
      <w:bookmarkEnd w:id="156"/>
      <w:r>
        <w:t>水土流失防治指标标准值</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5"/>
        <w:gridCol w:w="1367"/>
        <w:gridCol w:w="4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8" w:type="pct"/>
            <w:noWrap w:val="0"/>
            <w:vAlign w:val="center"/>
          </w:tcPr>
          <w:p>
            <w:pPr>
              <w:pStyle w:val="17"/>
              <w:bidi w:val="0"/>
            </w:pPr>
            <w:r>
              <w:t>水土流失防治目标</w:t>
            </w:r>
          </w:p>
        </w:tc>
        <w:tc>
          <w:tcPr>
            <w:tcW w:w="802" w:type="pct"/>
            <w:noWrap w:val="0"/>
            <w:vAlign w:val="center"/>
          </w:tcPr>
          <w:p>
            <w:pPr>
              <w:pStyle w:val="17"/>
              <w:bidi w:val="0"/>
            </w:pPr>
            <w:r>
              <w:t>方案目标值</w:t>
            </w:r>
          </w:p>
        </w:tc>
        <w:tc>
          <w:tcPr>
            <w:tcW w:w="2740" w:type="pct"/>
            <w:noWrap w:val="0"/>
            <w:vAlign w:val="center"/>
          </w:tcPr>
          <w:p>
            <w:pPr>
              <w:pStyle w:val="17"/>
              <w:bidi w:val="0"/>
            </w:pPr>
            <w: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458" w:type="pct"/>
            <w:noWrap w:val="0"/>
            <w:vAlign w:val="center"/>
          </w:tcPr>
          <w:p>
            <w:pPr>
              <w:pStyle w:val="17"/>
              <w:bidi w:val="0"/>
            </w:pPr>
            <w:r>
              <w:t>扰动土地</w:t>
            </w:r>
            <w:r>
              <w:rPr>
                <w:rFonts w:hint="eastAsia"/>
              </w:rPr>
              <w:t>整治</w:t>
            </w:r>
            <w:r>
              <w:t>率（%）</w:t>
            </w:r>
          </w:p>
        </w:tc>
        <w:tc>
          <w:tcPr>
            <w:tcW w:w="1444" w:type="dxa"/>
            <w:noWrap w:val="0"/>
            <w:vAlign w:val="center"/>
          </w:tcPr>
          <w:p>
            <w:pPr>
              <w:widowControl/>
              <w:spacing w:line="240" w:lineRule="auto"/>
              <w:ind w:firstLine="0" w:firstLineChars="0"/>
              <w:jc w:val="center"/>
            </w:pPr>
            <w:r>
              <w:rPr>
                <w:rFonts w:hint="eastAsia"/>
                <w:kern w:val="0"/>
                <w:sz w:val="21"/>
                <w:szCs w:val="21"/>
                <w:lang w:val="en-US" w:eastAsia="zh-CN"/>
              </w:rPr>
              <w:t>90</w:t>
            </w:r>
          </w:p>
        </w:tc>
        <w:tc>
          <w:tcPr>
            <w:tcW w:w="2740" w:type="pct"/>
            <w:noWrap w:val="0"/>
            <w:vAlign w:val="center"/>
          </w:tcPr>
          <w:p>
            <w:pPr>
              <w:pStyle w:val="17"/>
              <w:bidi w:val="0"/>
            </w:pPr>
            <w:r>
              <w:t>扰动土地的整治面积÷扰动土地总面积×100%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8" w:type="pct"/>
            <w:noWrap w:val="0"/>
            <w:vAlign w:val="center"/>
          </w:tcPr>
          <w:p>
            <w:pPr>
              <w:pStyle w:val="17"/>
              <w:bidi w:val="0"/>
            </w:pPr>
            <w:r>
              <w:t>水土流失总治理度（%）</w:t>
            </w:r>
          </w:p>
        </w:tc>
        <w:tc>
          <w:tcPr>
            <w:tcW w:w="1444" w:type="dxa"/>
            <w:noWrap w:val="0"/>
            <w:vAlign w:val="center"/>
          </w:tcPr>
          <w:p>
            <w:pPr>
              <w:widowControl/>
              <w:spacing w:line="240" w:lineRule="auto"/>
              <w:ind w:firstLine="0" w:firstLineChars="0"/>
              <w:jc w:val="center"/>
            </w:pPr>
            <w:r>
              <w:rPr>
                <w:rFonts w:hint="eastAsia"/>
                <w:kern w:val="0"/>
                <w:sz w:val="21"/>
                <w:szCs w:val="21"/>
                <w:lang w:val="en-US" w:eastAsia="zh-CN"/>
              </w:rPr>
              <w:t>82</w:t>
            </w:r>
          </w:p>
        </w:tc>
        <w:tc>
          <w:tcPr>
            <w:tcW w:w="2740" w:type="pct"/>
            <w:noWrap w:val="0"/>
            <w:vAlign w:val="center"/>
          </w:tcPr>
          <w:p>
            <w:pPr>
              <w:pStyle w:val="17"/>
              <w:bidi w:val="0"/>
            </w:pPr>
            <w:r>
              <w:t>水土流失治理达标面积÷造成水土流失面积×100%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8" w:type="pct"/>
            <w:noWrap w:val="0"/>
            <w:vAlign w:val="center"/>
          </w:tcPr>
          <w:p>
            <w:pPr>
              <w:pStyle w:val="17"/>
              <w:bidi w:val="0"/>
            </w:pPr>
            <w:r>
              <w:t>土壤流失控制比</w:t>
            </w:r>
          </w:p>
        </w:tc>
        <w:tc>
          <w:tcPr>
            <w:tcW w:w="1444" w:type="dxa"/>
            <w:noWrap w:val="0"/>
            <w:vAlign w:val="center"/>
          </w:tcPr>
          <w:p>
            <w:pPr>
              <w:widowControl/>
              <w:spacing w:line="240" w:lineRule="auto"/>
              <w:ind w:firstLine="0" w:firstLineChars="0"/>
              <w:jc w:val="center"/>
            </w:pPr>
            <w:r>
              <w:rPr>
                <w:rFonts w:hint="eastAsia"/>
                <w:kern w:val="0"/>
                <w:sz w:val="21"/>
                <w:szCs w:val="21"/>
              </w:rPr>
              <w:t>1.0</w:t>
            </w:r>
          </w:p>
        </w:tc>
        <w:tc>
          <w:tcPr>
            <w:tcW w:w="2740" w:type="pct"/>
            <w:noWrap w:val="0"/>
            <w:vAlign w:val="center"/>
          </w:tcPr>
          <w:p>
            <w:pPr>
              <w:pStyle w:val="17"/>
              <w:bidi w:val="0"/>
            </w:pPr>
            <w:r>
              <w:t>项目区容许值÷治理后平均土壤流失强度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8" w:type="pct"/>
            <w:noWrap w:val="0"/>
            <w:vAlign w:val="center"/>
          </w:tcPr>
          <w:p>
            <w:pPr>
              <w:pStyle w:val="17"/>
              <w:bidi w:val="0"/>
            </w:pPr>
            <w:r>
              <w:t>拦渣率（%）</w:t>
            </w:r>
          </w:p>
        </w:tc>
        <w:tc>
          <w:tcPr>
            <w:tcW w:w="1444" w:type="dxa"/>
            <w:noWrap w:val="0"/>
            <w:vAlign w:val="center"/>
          </w:tcPr>
          <w:p>
            <w:pPr>
              <w:widowControl/>
              <w:spacing w:line="240" w:lineRule="auto"/>
              <w:ind w:firstLine="0" w:firstLineChars="0"/>
              <w:jc w:val="center"/>
            </w:pPr>
            <w:r>
              <w:rPr>
                <w:rFonts w:hint="eastAsia"/>
                <w:kern w:val="0"/>
                <w:sz w:val="21"/>
                <w:szCs w:val="21"/>
                <w:lang w:val="en-US" w:eastAsia="zh-CN"/>
              </w:rPr>
              <w:t>90</w:t>
            </w:r>
          </w:p>
        </w:tc>
        <w:tc>
          <w:tcPr>
            <w:tcW w:w="2740" w:type="pct"/>
            <w:noWrap w:val="0"/>
            <w:vAlign w:val="center"/>
          </w:tcPr>
          <w:p>
            <w:pPr>
              <w:pStyle w:val="17"/>
              <w:bidi w:val="0"/>
            </w:pPr>
            <w:r>
              <w:t>实际拦渣量÷总弃渣量×100%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458" w:type="pct"/>
            <w:noWrap w:val="0"/>
            <w:vAlign w:val="center"/>
          </w:tcPr>
          <w:p>
            <w:pPr>
              <w:pStyle w:val="17"/>
              <w:bidi w:val="0"/>
            </w:pPr>
            <w:r>
              <w:t>林草植被恢复率（%）</w:t>
            </w:r>
          </w:p>
        </w:tc>
        <w:tc>
          <w:tcPr>
            <w:tcW w:w="1444" w:type="dxa"/>
            <w:noWrap w:val="0"/>
            <w:vAlign w:val="center"/>
          </w:tcPr>
          <w:p>
            <w:pPr>
              <w:widowControl/>
              <w:spacing w:line="240" w:lineRule="auto"/>
              <w:ind w:firstLine="0" w:firstLineChars="0"/>
              <w:jc w:val="center"/>
            </w:pPr>
            <w:r>
              <w:rPr>
                <w:rFonts w:hint="eastAsia"/>
                <w:kern w:val="0"/>
                <w:sz w:val="21"/>
                <w:szCs w:val="21"/>
                <w:lang w:val="en-US" w:eastAsia="zh-CN"/>
              </w:rPr>
              <w:t>92</w:t>
            </w:r>
          </w:p>
        </w:tc>
        <w:tc>
          <w:tcPr>
            <w:tcW w:w="2740" w:type="pct"/>
            <w:noWrap w:val="0"/>
            <w:vAlign w:val="center"/>
          </w:tcPr>
          <w:p>
            <w:pPr>
              <w:pStyle w:val="17"/>
              <w:bidi w:val="0"/>
            </w:pPr>
            <w:r>
              <w:t>林草类植被面积÷可恢复林草植被×100%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8" w:type="pct"/>
            <w:noWrap w:val="0"/>
            <w:vAlign w:val="center"/>
          </w:tcPr>
          <w:p>
            <w:pPr>
              <w:pStyle w:val="17"/>
              <w:bidi w:val="0"/>
            </w:pPr>
            <w:r>
              <w:t>林草覆盖率（%）</w:t>
            </w:r>
          </w:p>
        </w:tc>
        <w:tc>
          <w:tcPr>
            <w:tcW w:w="1444" w:type="dxa"/>
            <w:noWrap w:val="0"/>
            <w:vAlign w:val="center"/>
          </w:tcPr>
          <w:p>
            <w:pPr>
              <w:widowControl/>
              <w:spacing w:line="240" w:lineRule="auto"/>
              <w:ind w:firstLine="0" w:firstLineChars="0"/>
              <w:jc w:val="center"/>
            </w:pPr>
            <w:r>
              <w:rPr>
                <w:rFonts w:hint="eastAsia"/>
                <w:kern w:val="0"/>
                <w:sz w:val="21"/>
                <w:szCs w:val="21"/>
                <w:lang w:val="en-US" w:eastAsia="zh-CN"/>
              </w:rPr>
              <w:t>17</w:t>
            </w:r>
          </w:p>
        </w:tc>
        <w:tc>
          <w:tcPr>
            <w:tcW w:w="2740" w:type="pct"/>
            <w:noWrap w:val="0"/>
            <w:vAlign w:val="center"/>
          </w:tcPr>
          <w:p>
            <w:pPr>
              <w:pStyle w:val="17"/>
              <w:bidi w:val="0"/>
            </w:pPr>
            <w:r>
              <w:t>林草总面积÷项目建设区面积×100%</w:t>
            </w:r>
          </w:p>
        </w:tc>
      </w:tr>
    </w:tbl>
    <w:p>
      <w:pPr>
        <w:pStyle w:val="4"/>
      </w:pPr>
      <w:bookmarkStart w:id="157" w:name="_Toc6546"/>
      <w:bookmarkStart w:id="158" w:name="_Toc298858022"/>
      <w:bookmarkStart w:id="159" w:name="_Toc44318498"/>
      <w:bookmarkStart w:id="160" w:name="_Toc31662"/>
      <w:r>
        <w:t>6.2 扰动土地整治率</w:t>
      </w:r>
      <w:bookmarkEnd w:id="157"/>
      <w:bookmarkEnd w:id="158"/>
      <w:bookmarkEnd w:id="159"/>
      <w:bookmarkEnd w:id="160"/>
    </w:p>
    <w:p>
      <w:pPr>
        <w:pStyle w:val="24"/>
        <w:spacing w:line="360" w:lineRule="auto"/>
        <w:ind w:firstLine="480"/>
        <w:rPr>
          <w:rFonts w:hint="eastAsia" w:eastAsia="仿宋_GB2312"/>
          <w:sz w:val="24"/>
          <w:szCs w:val="24"/>
        </w:rPr>
      </w:pPr>
      <w:r>
        <w:rPr>
          <w:rFonts w:eastAsia="仿宋_GB2312"/>
          <w:sz w:val="24"/>
          <w:szCs w:val="24"/>
        </w:rPr>
        <w:t>扰动土地整治率是指项目建设区内扰动土地的整治面积占扰动土地总面积的百分比，扰动土地指生产建设活动中形成的各类挖损、占压、堆弃用地，以垂直投影面积计；扰动土地整治面积指采取各类整治措施的面积，包括永久建筑物面积，采矿区范围内未扰动的土地面积不计算在内。</w:t>
      </w:r>
    </w:p>
    <w:p>
      <w:pPr>
        <w:ind w:firstLine="480"/>
        <w:rPr>
          <w:szCs w:val="24"/>
          <w:highlight w:val="none"/>
        </w:rPr>
      </w:pPr>
      <w:r>
        <w:rPr>
          <w:szCs w:val="24"/>
          <w:highlight w:val="none"/>
        </w:rPr>
        <w:t>本工程完成扰动土地整治面积</w:t>
      </w:r>
      <w:r>
        <w:rPr>
          <w:rFonts w:hint="eastAsia"/>
          <w:szCs w:val="24"/>
          <w:highlight w:val="none"/>
          <w:lang w:val="en-US" w:eastAsia="zh-CN"/>
        </w:rPr>
        <w:t>10.03</w:t>
      </w:r>
      <w:r>
        <w:rPr>
          <w:szCs w:val="24"/>
          <w:highlight w:val="none"/>
        </w:rPr>
        <w:t>hm</w:t>
      </w:r>
      <w:r>
        <w:rPr>
          <w:szCs w:val="24"/>
          <w:highlight w:val="none"/>
          <w:vertAlign w:val="superscript"/>
        </w:rPr>
        <w:t>2</w:t>
      </w:r>
      <w:r>
        <w:rPr>
          <w:szCs w:val="24"/>
          <w:highlight w:val="none"/>
        </w:rPr>
        <w:t>，其中完成植物措施面积</w:t>
      </w:r>
      <w:r>
        <w:rPr>
          <w:rFonts w:hint="eastAsia"/>
          <w:szCs w:val="24"/>
          <w:highlight w:val="none"/>
          <w:lang w:val="en-US" w:eastAsia="zh-CN"/>
        </w:rPr>
        <w:t>5.76</w:t>
      </w:r>
      <w:r>
        <w:rPr>
          <w:szCs w:val="24"/>
          <w:highlight w:val="none"/>
        </w:rPr>
        <w:t>hm</w:t>
      </w:r>
      <w:r>
        <w:rPr>
          <w:szCs w:val="24"/>
          <w:highlight w:val="none"/>
          <w:vertAlign w:val="superscript"/>
        </w:rPr>
        <w:t>2</w:t>
      </w:r>
      <w:r>
        <w:rPr>
          <w:szCs w:val="24"/>
          <w:highlight w:val="none"/>
        </w:rPr>
        <w:t>，建筑物</w:t>
      </w:r>
      <w:r>
        <w:rPr>
          <w:rFonts w:hint="eastAsia"/>
          <w:szCs w:val="24"/>
          <w:highlight w:val="none"/>
          <w:lang w:val="en-US" w:eastAsia="zh-CN"/>
        </w:rPr>
        <w:t>及</w:t>
      </w:r>
      <w:r>
        <w:rPr>
          <w:szCs w:val="24"/>
          <w:highlight w:val="none"/>
        </w:rPr>
        <w:t>硬化固化</w:t>
      </w:r>
      <w:r>
        <w:rPr>
          <w:rFonts w:hint="eastAsia"/>
          <w:szCs w:val="24"/>
          <w:highlight w:val="none"/>
          <w:lang w:val="en-US" w:eastAsia="zh-CN"/>
        </w:rPr>
        <w:t>4.24</w:t>
      </w:r>
      <w:r>
        <w:rPr>
          <w:szCs w:val="24"/>
          <w:highlight w:val="none"/>
        </w:rPr>
        <w:t>hm</w:t>
      </w:r>
      <w:r>
        <w:rPr>
          <w:szCs w:val="24"/>
          <w:highlight w:val="none"/>
          <w:vertAlign w:val="superscript"/>
        </w:rPr>
        <w:t>2</w:t>
      </w:r>
      <w:r>
        <w:rPr>
          <w:szCs w:val="24"/>
          <w:highlight w:val="none"/>
        </w:rPr>
        <w:t>，水土流失治理达标面积</w:t>
      </w:r>
      <w:r>
        <w:rPr>
          <w:rFonts w:hint="eastAsia"/>
          <w:szCs w:val="24"/>
          <w:highlight w:val="none"/>
          <w:lang w:val="en-US" w:eastAsia="zh-CN"/>
        </w:rPr>
        <w:t>10.03</w:t>
      </w:r>
      <w:r>
        <w:rPr>
          <w:szCs w:val="24"/>
          <w:highlight w:val="none"/>
        </w:rPr>
        <w:t>hm</w:t>
      </w:r>
      <w:r>
        <w:rPr>
          <w:szCs w:val="24"/>
          <w:highlight w:val="none"/>
          <w:vertAlign w:val="superscript"/>
        </w:rPr>
        <w:t>2</w:t>
      </w:r>
      <w:r>
        <w:rPr>
          <w:szCs w:val="24"/>
          <w:highlight w:val="none"/>
        </w:rPr>
        <w:t>，项目建设区扰动土地整治率为</w:t>
      </w:r>
      <w:r>
        <w:rPr>
          <w:rFonts w:hint="eastAsia"/>
          <w:szCs w:val="24"/>
          <w:highlight w:val="none"/>
          <w:lang w:val="en-US" w:eastAsia="zh-CN"/>
        </w:rPr>
        <w:t>99.7</w:t>
      </w:r>
      <w:r>
        <w:rPr>
          <w:szCs w:val="24"/>
          <w:highlight w:val="none"/>
        </w:rPr>
        <w:t>％，达到方案设计及建设类项目水土流失防治标准值。</w:t>
      </w:r>
    </w:p>
    <w:p>
      <w:pPr>
        <w:pStyle w:val="7"/>
        <w:adjustRightInd/>
        <w:spacing w:line="360" w:lineRule="auto"/>
        <w:ind w:left="0" w:leftChars="0" w:firstLine="0" w:firstLineChars="0"/>
        <w:rPr>
          <w:rFonts w:eastAsia="仿宋_GB2312"/>
          <w:sz w:val="24"/>
          <w:szCs w:val="24"/>
        </w:rPr>
      </w:pPr>
      <w:r>
        <w:t>表</w:t>
      </w:r>
      <w:r>
        <w:rPr>
          <w:rFonts w:hint="eastAsia"/>
          <w:lang w:val="en-US" w:eastAsia="zh-CN"/>
        </w:rPr>
        <w:t>6</w:t>
      </w:r>
      <w:r>
        <w:t xml:space="preserve">.2- </w:t>
      </w:r>
      <w:r>
        <w:rPr>
          <w:rFonts w:hint="eastAsia"/>
          <w:lang w:val="en-US" w:eastAsia="zh-CN"/>
        </w:rPr>
        <w:t xml:space="preserve">2 </w:t>
      </w:r>
      <w:r>
        <w:rPr>
          <w:rFonts w:eastAsia="仿宋_GB2312"/>
          <w:sz w:val="24"/>
          <w:szCs w:val="24"/>
        </w:rPr>
        <w:t>扰动土地整治率计算表</w:t>
      </w:r>
    </w:p>
    <w:tbl>
      <w:tblPr>
        <w:tblStyle w:val="13"/>
        <w:tblW w:w="0" w:type="auto"/>
        <w:tblInd w:w="10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75"/>
        <w:gridCol w:w="1230"/>
        <w:gridCol w:w="1696"/>
        <w:gridCol w:w="1454"/>
        <w:gridCol w:w="1080"/>
        <w:gridCol w:w="109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1" w:hRule="atLeast"/>
        </w:trPr>
        <w:tc>
          <w:tcPr>
            <w:tcW w:w="1775" w:type="dxa"/>
            <w:vMerge w:val="restart"/>
            <w:tcBorders>
              <w:top w:val="double" w:color="auto" w:sz="4" w:space="0"/>
              <w:left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bookmarkStart w:id="161" w:name="_Toc27221"/>
            <w:bookmarkStart w:id="162" w:name="_Toc29970"/>
            <w:r>
              <w:rPr>
                <w:kern w:val="0"/>
                <w:sz w:val="21"/>
                <w:szCs w:val="21"/>
              </w:rPr>
              <w:t>项目分区</w:t>
            </w:r>
          </w:p>
        </w:tc>
        <w:tc>
          <w:tcPr>
            <w:tcW w:w="1230" w:type="dxa"/>
            <w:vMerge w:val="restart"/>
            <w:tcBorders>
              <w:top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扰动地表面积（hm</w:t>
            </w:r>
            <w:r>
              <w:rPr>
                <w:kern w:val="0"/>
                <w:sz w:val="21"/>
                <w:szCs w:val="21"/>
                <w:vertAlign w:val="superscript"/>
              </w:rPr>
              <w:t>2</w:t>
            </w:r>
            <w:r>
              <w:rPr>
                <w:kern w:val="0"/>
                <w:sz w:val="21"/>
                <w:szCs w:val="21"/>
              </w:rPr>
              <w:t>）</w:t>
            </w:r>
          </w:p>
        </w:tc>
        <w:tc>
          <w:tcPr>
            <w:tcW w:w="4230" w:type="dxa"/>
            <w:gridSpan w:val="3"/>
            <w:tcBorders>
              <w:top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扰动全面整地面积</w:t>
            </w:r>
          </w:p>
        </w:tc>
        <w:tc>
          <w:tcPr>
            <w:tcW w:w="1094" w:type="dxa"/>
            <w:vMerge w:val="restart"/>
            <w:tcBorders>
              <w:top w:val="double" w:color="auto" w:sz="4" w:space="0"/>
              <w:bottom w:val="single" w:color="auto" w:sz="6" w:space="0"/>
              <w:right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扰动全面整地率（%）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trPr>
        <w:tc>
          <w:tcPr>
            <w:tcW w:w="1775" w:type="dxa"/>
            <w:vMerge w:val="continue"/>
            <w:tcBorders>
              <w:top w:val="single" w:color="auto" w:sz="6" w:space="0"/>
              <w:left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1230" w:type="dxa"/>
            <w:vMerge w:val="continue"/>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1696"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永久建筑物及硬化面积（hm</w:t>
            </w:r>
            <w:r>
              <w:rPr>
                <w:kern w:val="0"/>
                <w:sz w:val="21"/>
                <w:szCs w:val="21"/>
                <w:vertAlign w:val="superscript"/>
              </w:rPr>
              <w:t>2</w:t>
            </w:r>
            <w:r>
              <w:rPr>
                <w:rFonts w:hint="eastAsia"/>
                <w:kern w:val="0"/>
                <w:sz w:val="21"/>
                <w:szCs w:val="21"/>
              </w:rPr>
              <w:t>）</w:t>
            </w:r>
          </w:p>
        </w:tc>
        <w:tc>
          <w:tcPr>
            <w:tcW w:w="1454" w:type="dxa"/>
            <w:tcBorders>
              <w:top w:val="single" w:color="auto" w:sz="6" w:space="0"/>
              <w:bottom w:val="single"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水土保持措施面积（hm</w:t>
            </w:r>
            <w:r>
              <w:rPr>
                <w:kern w:val="0"/>
                <w:sz w:val="21"/>
                <w:szCs w:val="21"/>
                <w:vertAlign w:val="superscript"/>
              </w:rPr>
              <w:t>2</w:t>
            </w:r>
            <w:r>
              <w:rPr>
                <w:kern w:val="0"/>
                <w:sz w:val="21"/>
                <w:szCs w:val="21"/>
              </w:rPr>
              <w:t>）</w:t>
            </w:r>
          </w:p>
        </w:tc>
        <w:tc>
          <w:tcPr>
            <w:tcW w:w="1080" w:type="dxa"/>
            <w:tcBorders>
              <w:top w:val="single" w:color="auto" w:sz="6" w:space="0"/>
              <w:left w:val="sing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合计</w:t>
            </w:r>
          </w:p>
        </w:tc>
        <w:tc>
          <w:tcPr>
            <w:tcW w:w="1094" w:type="dxa"/>
            <w:vMerge w:val="continue"/>
            <w:tcBorders>
              <w:top w:val="single" w:color="auto" w:sz="6" w:space="0"/>
              <w:bottom w:val="single" w:color="auto" w:sz="6" w:space="0"/>
              <w:right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1775" w:type="dxa"/>
            <w:tcBorders>
              <w:top w:val="single" w:color="auto" w:sz="6" w:space="0"/>
              <w:left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建筑物区</w:t>
            </w:r>
          </w:p>
        </w:tc>
        <w:tc>
          <w:tcPr>
            <w:tcW w:w="1230"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1.96</w:t>
            </w:r>
          </w:p>
        </w:tc>
        <w:tc>
          <w:tcPr>
            <w:tcW w:w="1696"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1.96</w:t>
            </w:r>
          </w:p>
        </w:tc>
        <w:tc>
          <w:tcPr>
            <w:tcW w:w="1454" w:type="dxa"/>
            <w:tcBorders>
              <w:top w:val="single" w:color="auto" w:sz="6" w:space="0"/>
              <w:bottom w:val="single"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080" w:type="dxa"/>
            <w:tcBorders>
              <w:top w:val="single" w:color="auto" w:sz="6" w:space="0"/>
              <w:left w:val="sing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1.95</w:t>
            </w:r>
          </w:p>
        </w:tc>
        <w:tc>
          <w:tcPr>
            <w:tcW w:w="1094" w:type="dxa"/>
            <w:tcBorders>
              <w:top w:val="single" w:color="auto" w:sz="6" w:space="0"/>
              <w:bottom w:val="single" w:color="auto" w:sz="6" w:space="0"/>
              <w:right w:val="doub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000000"/>
                <w:sz w:val="21"/>
                <w:szCs w:val="21"/>
              </w:rPr>
            </w:pPr>
            <w:r>
              <w:rPr>
                <w:color w:val="000000"/>
                <w:sz w:val="21"/>
                <w:szCs w:val="21"/>
              </w:rPr>
              <w:t xml:space="preserve">99.5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1775" w:type="dxa"/>
            <w:tcBorders>
              <w:top w:val="single" w:color="auto" w:sz="6" w:space="0"/>
              <w:left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道路及管线区</w:t>
            </w:r>
          </w:p>
        </w:tc>
        <w:tc>
          <w:tcPr>
            <w:tcW w:w="1230"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2.31</w:t>
            </w:r>
          </w:p>
        </w:tc>
        <w:tc>
          <w:tcPr>
            <w:tcW w:w="1696"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2.28</w:t>
            </w:r>
          </w:p>
        </w:tc>
        <w:tc>
          <w:tcPr>
            <w:tcW w:w="1454" w:type="dxa"/>
            <w:tcBorders>
              <w:top w:val="single" w:color="auto" w:sz="6" w:space="0"/>
              <w:bottom w:val="single"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0.01</w:t>
            </w:r>
          </w:p>
        </w:tc>
        <w:tc>
          <w:tcPr>
            <w:tcW w:w="1080" w:type="dxa"/>
            <w:tcBorders>
              <w:top w:val="single" w:color="auto" w:sz="6" w:space="0"/>
              <w:left w:val="sing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2.29</w:t>
            </w:r>
          </w:p>
        </w:tc>
        <w:tc>
          <w:tcPr>
            <w:tcW w:w="1094" w:type="dxa"/>
            <w:tcBorders>
              <w:top w:val="single" w:color="auto" w:sz="6" w:space="0"/>
              <w:bottom w:val="single" w:color="auto" w:sz="6" w:space="0"/>
              <w:right w:val="doub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000000"/>
                <w:sz w:val="21"/>
                <w:szCs w:val="21"/>
              </w:rPr>
            </w:pPr>
            <w:r>
              <w:rPr>
                <w:color w:val="000000"/>
                <w:sz w:val="21"/>
                <w:szCs w:val="21"/>
              </w:rPr>
              <w:t xml:space="preserve">99.1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1775" w:type="dxa"/>
            <w:tcBorders>
              <w:top w:val="single" w:color="auto" w:sz="6" w:space="0"/>
              <w:left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绿化区</w:t>
            </w:r>
          </w:p>
        </w:tc>
        <w:tc>
          <w:tcPr>
            <w:tcW w:w="1230"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3.22</w:t>
            </w:r>
          </w:p>
        </w:tc>
        <w:tc>
          <w:tcPr>
            <w:tcW w:w="1696"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454" w:type="dxa"/>
            <w:tcBorders>
              <w:top w:val="single" w:color="auto" w:sz="6" w:space="0"/>
              <w:bottom w:val="single"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eastAsia="仿宋_GB2312"/>
                <w:kern w:val="0"/>
                <w:sz w:val="21"/>
                <w:szCs w:val="21"/>
                <w:lang w:eastAsia="zh-CN"/>
              </w:rPr>
            </w:pPr>
            <w:r>
              <w:rPr>
                <w:rFonts w:hint="eastAsia"/>
                <w:kern w:val="0"/>
                <w:sz w:val="21"/>
                <w:szCs w:val="21"/>
              </w:rPr>
              <w:t>3.2</w:t>
            </w:r>
            <w:r>
              <w:rPr>
                <w:rFonts w:hint="eastAsia"/>
                <w:kern w:val="0"/>
                <w:sz w:val="21"/>
                <w:szCs w:val="21"/>
                <w:lang w:val="en-US" w:eastAsia="zh-CN"/>
              </w:rPr>
              <w:t>2</w:t>
            </w:r>
          </w:p>
        </w:tc>
        <w:tc>
          <w:tcPr>
            <w:tcW w:w="1080" w:type="dxa"/>
            <w:tcBorders>
              <w:top w:val="single" w:color="auto" w:sz="6" w:space="0"/>
              <w:left w:val="sing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eastAsia="仿宋_GB2312"/>
                <w:kern w:val="0"/>
                <w:sz w:val="21"/>
                <w:szCs w:val="21"/>
                <w:lang w:eastAsia="zh-CN"/>
              </w:rPr>
            </w:pPr>
            <w:r>
              <w:rPr>
                <w:rFonts w:hint="eastAsia"/>
                <w:kern w:val="0"/>
                <w:sz w:val="21"/>
                <w:szCs w:val="21"/>
              </w:rPr>
              <w:t>3.2</w:t>
            </w:r>
            <w:r>
              <w:rPr>
                <w:rFonts w:hint="eastAsia"/>
                <w:kern w:val="0"/>
                <w:sz w:val="21"/>
                <w:szCs w:val="21"/>
                <w:lang w:val="en-US" w:eastAsia="zh-CN"/>
              </w:rPr>
              <w:t>2</w:t>
            </w:r>
          </w:p>
        </w:tc>
        <w:tc>
          <w:tcPr>
            <w:tcW w:w="1094" w:type="dxa"/>
            <w:tcBorders>
              <w:top w:val="single" w:color="auto" w:sz="6" w:space="0"/>
              <w:bottom w:val="single" w:color="auto" w:sz="6" w:space="0"/>
              <w:right w:val="doub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eastAsia="仿宋_GB2312"/>
                <w:color w:val="000000"/>
                <w:sz w:val="21"/>
                <w:szCs w:val="21"/>
                <w:lang w:val="en-US" w:eastAsia="zh-CN"/>
              </w:rPr>
            </w:pPr>
            <w:r>
              <w:rPr>
                <w:rFonts w:hint="eastAsia"/>
                <w:color w:val="000000"/>
                <w:sz w:val="21"/>
                <w:szCs w:val="21"/>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1775" w:type="dxa"/>
            <w:tcBorders>
              <w:top w:val="single" w:color="auto" w:sz="6" w:space="0"/>
              <w:left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预留用地区</w:t>
            </w:r>
          </w:p>
        </w:tc>
        <w:tc>
          <w:tcPr>
            <w:tcW w:w="1230"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2.54</w:t>
            </w:r>
          </w:p>
        </w:tc>
        <w:tc>
          <w:tcPr>
            <w:tcW w:w="1696"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454" w:type="dxa"/>
            <w:tcBorders>
              <w:top w:val="single" w:color="auto" w:sz="6" w:space="0"/>
              <w:bottom w:val="single"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eastAsia="仿宋_GB2312"/>
                <w:kern w:val="0"/>
                <w:sz w:val="21"/>
                <w:szCs w:val="21"/>
                <w:lang w:val="en-US" w:eastAsia="zh-CN"/>
              </w:rPr>
            </w:pPr>
            <w:r>
              <w:rPr>
                <w:rFonts w:hint="eastAsia"/>
                <w:kern w:val="0"/>
                <w:sz w:val="21"/>
                <w:szCs w:val="21"/>
              </w:rPr>
              <w:t>2.</w:t>
            </w:r>
            <w:r>
              <w:rPr>
                <w:rFonts w:hint="eastAsia"/>
                <w:kern w:val="0"/>
                <w:sz w:val="21"/>
                <w:szCs w:val="21"/>
                <w:lang w:val="en-US" w:eastAsia="zh-CN"/>
              </w:rPr>
              <w:t>53</w:t>
            </w:r>
          </w:p>
        </w:tc>
        <w:tc>
          <w:tcPr>
            <w:tcW w:w="1080" w:type="dxa"/>
            <w:tcBorders>
              <w:top w:val="single" w:color="auto" w:sz="6" w:space="0"/>
              <w:left w:val="sing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eastAsia="仿宋_GB2312"/>
                <w:kern w:val="0"/>
                <w:sz w:val="21"/>
                <w:szCs w:val="21"/>
                <w:lang w:val="en-US" w:eastAsia="zh-CN"/>
              </w:rPr>
            </w:pPr>
            <w:r>
              <w:rPr>
                <w:rFonts w:hint="eastAsia"/>
                <w:kern w:val="0"/>
                <w:sz w:val="21"/>
                <w:szCs w:val="21"/>
              </w:rPr>
              <w:t>2.</w:t>
            </w:r>
            <w:r>
              <w:rPr>
                <w:rFonts w:hint="eastAsia"/>
                <w:kern w:val="0"/>
                <w:sz w:val="21"/>
                <w:szCs w:val="21"/>
                <w:lang w:val="en-US" w:eastAsia="zh-CN"/>
              </w:rPr>
              <w:t>53</w:t>
            </w:r>
          </w:p>
        </w:tc>
        <w:tc>
          <w:tcPr>
            <w:tcW w:w="1094" w:type="dxa"/>
            <w:tcBorders>
              <w:top w:val="single" w:color="auto" w:sz="6" w:space="0"/>
              <w:bottom w:val="single" w:color="auto" w:sz="6" w:space="0"/>
              <w:right w:val="doub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eastAsia="仿宋_GB2312"/>
                <w:color w:val="000000"/>
                <w:sz w:val="21"/>
                <w:szCs w:val="21"/>
                <w:lang w:val="en-US" w:eastAsia="zh-CN"/>
              </w:rPr>
            </w:pPr>
            <w:r>
              <w:rPr>
                <w:color w:val="000000"/>
                <w:sz w:val="21"/>
                <w:szCs w:val="21"/>
              </w:rPr>
              <w:t>9</w:t>
            </w:r>
            <w:r>
              <w:rPr>
                <w:rFonts w:hint="eastAsia"/>
                <w:color w:val="000000"/>
                <w:sz w:val="21"/>
                <w:szCs w:val="21"/>
                <w:lang w:val="en-US" w:eastAsia="zh-CN"/>
              </w:rPr>
              <w:t>9.8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1775" w:type="dxa"/>
            <w:tcBorders>
              <w:top w:val="single" w:color="auto" w:sz="6" w:space="0"/>
              <w:left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临时堆土区</w:t>
            </w:r>
          </w:p>
        </w:tc>
        <w:tc>
          <w:tcPr>
            <w:tcW w:w="1230"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（0.64）</w:t>
            </w:r>
          </w:p>
        </w:tc>
        <w:tc>
          <w:tcPr>
            <w:tcW w:w="1696"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1454" w:type="dxa"/>
            <w:tcBorders>
              <w:top w:val="single" w:color="auto" w:sz="6" w:space="0"/>
              <w:bottom w:val="single"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（0.63）</w:t>
            </w:r>
          </w:p>
        </w:tc>
        <w:tc>
          <w:tcPr>
            <w:tcW w:w="1080" w:type="dxa"/>
            <w:tcBorders>
              <w:top w:val="single" w:color="auto" w:sz="6" w:space="0"/>
              <w:left w:val="sing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（0.63）</w:t>
            </w:r>
          </w:p>
        </w:tc>
        <w:tc>
          <w:tcPr>
            <w:tcW w:w="1094" w:type="dxa"/>
            <w:tcBorders>
              <w:top w:val="single" w:color="auto" w:sz="6" w:space="0"/>
              <w:bottom w:val="single" w:color="auto" w:sz="6" w:space="0"/>
              <w:right w:val="doub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000000"/>
                <w:sz w:val="21"/>
                <w:szCs w:val="21"/>
              </w:rPr>
            </w:pPr>
            <w:r>
              <w:rPr>
                <w:color w:val="000000"/>
                <w:sz w:val="21"/>
                <w:szCs w:val="21"/>
              </w:rPr>
              <w:t xml:space="preserve">98.4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1775" w:type="dxa"/>
            <w:tcBorders>
              <w:top w:val="single" w:color="auto" w:sz="6" w:space="0"/>
              <w:left w:val="doub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施工营造区</w:t>
            </w:r>
          </w:p>
        </w:tc>
        <w:tc>
          <w:tcPr>
            <w:tcW w:w="1230"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（0.2）</w:t>
            </w:r>
          </w:p>
        </w:tc>
        <w:tc>
          <w:tcPr>
            <w:tcW w:w="1696" w:type="dxa"/>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p>
        </w:tc>
        <w:tc>
          <w:tcPr>
            <w:tcW w:w="1454" w:type="dxa"/>
            <w:tcBorders>
              <w:top w:val="single" w:color="auto" w:sz="6" w:space="0"/>
              <w:bottom w:val="single"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（0.19）</w:t>
            </w:r>
          </w:p>
        </w:tc>
        <w:tc>
          <w:tcPr>
            <w:tcW w:w="1080" w:type="dxa"/>
            <w:tcBorders>
              <w:top w:val="single" w:color="auto" w:sz="6" w:space="0"/>
              <w:left w:val="single" w:color="auto" w:sz="4"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（0.19）</w:t>
            </w:r>
          </w:p>
        </w:tc>
        <w:tc>
          <w:tcPr>
            <w:tcW w:w="1094" w:type="dxa"/>
            <w:tcBorders>
              <w:top w:val="single" w:color="auto" w:sz="6" w:space="0"/>
              <w:bottom w:val="single" w:color="auto" w:sz="6" w:space="0"/>
              <w:right w:val="doub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000000"/>
                <w:sz w:val="21"/>
                <w:szCs w:val="21"/>
              </w:rPr>
            </w:pPr>
            <w:r>
              <w:rPr>
                <w:color w:val="000000"/>
                <w:sz w:val="21"/>
                <w:szCs w:val="21"/>
              </w:rPr>
              <w:t xml:space="preserve">95.0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1775" w:type="dxa"/>
            <w:tcBorders>
              <w:top w:val="single" w:color="auto" w:sz="6" w:space="0"/>
              <w:left w:val="double" w:color="auto" w:sz="4" w:space="0"/>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合计</w:t>
            </w:r>
          </w:p>
        </w:tc>
        <w:tc>
          <w:tcPr>
            <w:tcW w:w="1230" w:type="dxa"/>
            <w:tcBorders>
              <w:top w:val="single" w:color="auto" w:sz="6" w:space="0"/>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10.03</w:t>
            </w:r>
          </w:p>
        </w:tc>
        <w:tc>
          <w:tcPr>
            <w:tcW w:w="1696" w:type="dxa"/>
            <w:tcBorders>
              <w:top w:val="single" w:color="auto" w:sz="6" w:space="0"/>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4.24</w:t>
            </w:r>
          </w:p>
        </w:tc>
        <w:tc>
          <w:tcPr>
            <w:tcW w:w="1454" w:type="dxa"/>
            <w:tcBorders>
              <w:top w:val="single" w:color="auto" w:sz="6" w:space="0"/>
              <w:bottom w:val="doub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eastAsia="仿宋_GB2312"/>
                <w:kern w:val="0"/>
                <w:sz w:val="21"/>
                <w:szCs w:val="21"/>
                <w:lang w:val="en-US" w:eastAsia="zh-CN"/>
              </w:rPr>
            </w:pPr>
            <w:r>
              <w:rPr>
                <w:rFonts w:hint="eastAsia"/>
                <w:kern w:val="0"/>
                <w:sz w:val="21"/>
                <w:szCs w:val="21"/>
              </w:rPr>
              <w:t>5.</w:t>
            </w:r>
            <w:r>
              <w:rPr>
                <w:rFonts w:hint="eastAsia"/>
                <w:kern w:val="0"/>
                <w:sz w:val="21"/>
                <w:szCs w:val="21"/>
                <w:lang w:val="en-US" w:eastAsia="zh-CN"/>
              </w:rPr>
              <w:t>76</w:t>
            </w:r>
          </w:p>
        </w:tc>
        <w:tc>
          <w:tcPr>
            <w:tcW w:w="1080" w:type="dxa"/>
            <w:tcBorders>
              <w:top w:val="single" w:color="auto" w:sz="6" w:space="0"/>
              <w:left w:val="single" w:color="auto" w:sz="4" w:space="0"/>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eastAsia="仿宋_GB2312"/>
                <w:kern w:val="0"/>
                <w:sz w:val="21"/>
                <w:szCs w:val="21"/>
                <w:lang w:val="en-US" w:eastAsia="zh-CN"/>
              </w:rPr>
            </w:pPr>
            <w:r>
              <w:rPr>
                <w:rFonts w:hint="eastAsia"/>
                <w:kern w:val="0"/>
                <w:sz w:val="21"/>
                <w:szCs w:val="21"/>
                <w:lang w:val="en-US" w:eastAsia="zh-CN"/>
              </w:rPr>
              <w:t>10.0</w:t>
            </w:r>
          </w:p>
        </w:tc>
        <w:tc>
          <w:tcPr>
            <w:tcW w:w="1094" w:type="dxa"/>
            <w:tcBorders>
              <w:top w:val="single" w:color="auto" w:sz="6" w:space="0"/>
              <w:bottom w:val="double" w:color="auto" w:sz="4" w:space="0"/>
              <w:right w:val="doub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000000"/>
                <w:sz w:val="21"/>
                <w:szCs w:val="21"/>
              </w:rPr>
            </w:pPr>
            <w:r>
              <w:rPr>
                <w:color w:val="000000"/>
                <w:sz w:val="21"/>
                <w:szCs w:val="21"/>
              </w:rPr>
              <w:t>9</w:t>
            </w:r>
            <w:r>
              <w:rPr>
                <w:rFonts w:hint="eastAsia"/>
                <w:color w:val="000000"/>
                <w:sz w:val="21"/>
                <w:szCs w:val="21"/>
                <w:lang w:val="en-US" w:eastAsia="zh-CN"/>
              </w:rPr>
              <w:t>9.7</w:t>
            </w:r>
            <w:r>
              <w:rPr>
                <w:color w:val="000000"/>
                <w:sz w:val="21"/>
                <w:szCs w:val="21"/>
              </w:rPr>
              <w:t xml:space="preserve"> </w:t>
            </w:r>
          </w:p>
        </w:tc>
      </w:tr>
    </w:tbl>
    <w:p>
      <w:pPr>
        <w:pStyle w:val="4"/>
        <w:rPr>
          <w:rFonts w:hint="eastAsia"/>
          <w:lang w:val="en-US" w:eastAsia="zh-CN"/>
        </w:rPr>
      </w:pPr>
      <w:r>
        <w:t xml:space="preserve">6.2 </w:t>
      </w:r>
      <w:r>
        <w:rPr>
          <w:rFonts w:hint="eastAsia"/>
          <w:lang w:val="en-US" w:eastAsia="zh-CN"/>
        </w:rPr>
        <w:t>土壤流失总治理度</w:t>
      </w:r>
      <w:bookmarkEnd w:id="161"/>
      <w:bookmarkEnd w:id="162"/>
    </w:p>
    <w:p>
      <w:pPr>
        <w:pStyle w:val="24"/>
        <w:spacing w:line="360" w:lineRule="auto"/>
        <w:ind w:firstLine="480"/>
        <w:rPr>
          <w:rFonts w:eastAsia="仿宋_GB2312"/>
          <w:sz w:val="24"/>
          <w:szCs w:val="24"/>
          <w:highlight w:val="none"/>
        </w:rPr>
      </w:pPr>
      <w:r>
        <w:rPr>
          <w:rFonts w:eastAsia="仿宋_GB2312"/>
          <w:sz w:val="24"/>
          <w:szCs w:val="24"/>
        </w:rPr>
        <w:t>水土流失总治理度是指项目建设区内水土流失治理达标面积占水土流失总面积的百分比。水土流失面积指生产建设活动导致或诱发的水土流失面积，以及项目建设区内尚未达到容</w:t>
      </w:r>
      <w:r>
        <w:rPr>
          <w:rFonts w:eastAsia="仿宋_GB2312"/>
          <w:sz w:val="24"/>
          <w:szCs w:val="24"/>
          <w:highlight w:val="none"/>
        </w:rPr>
        <w:t>许土壤流失量的未扰动地表水土流失面积；水土流失防治面积指采取水土流失措施，使土壤流失量达到容许土壤流失量或以下的面积，以及建立良好排水体系，并不对周边冲刷的地面硬化面积和永久建筑物占用地面积。</w:t>
      </w:r>
    </w:p>
    <w:p>
      <w:pPr>
        <w:ind w:firstLine="480"/>
        <w:rPr>
          <w:szCs w:val="24"/>
          <w:highlight w:val="none"/>
        </w:rPr>
      </w:pPr>
      <w:r>
        <w:rPr>
          <w:szCs w:val="24"/>
          <w:highlight w:val="none"/>
        </w:rPr>
        <w:t>本工程完成扰动土地整治面积</w:t>
      </w:r>
      <w:r>
        <w:rPr>
          <w:rFonts w:hint="eastAsia"/>
          <w:szCs w:val="24"/>
          <w:highlight w:val="none"/>
          <w:lang w:val="en-US" w:eastAsia="zh-CN"/>
        </w:rPr>
        <w:t>10.03</w:t>
      </w:r>
      <w:r>
        <w:rPr>
          <w:szCs w:val="24"/>
          <w:highlight w:val="none"/>
        </w:rPr>
        <w:t>hm</w:t>
      </w:r>
      <w:r>
        <w:rPr>
          <w:szCs w:val="24"/>
          <w:highlight w:val="none"/>
          <w:vertAlign w:val="superscript"/>
        </w:rPr>
        <w:t>2</w:t>
      </w:r>
      <w:r>
        <w:rPr>
          <w:szCs w:val="24"/>
          <w:highlight w:val="none"/>
        </w:rPr>
        <w:t>，其中完成植物措施面积</w:t>
      </w:r>
      <w:r>
        <w:rPr>
          <w:rFonts w:hint="eastAsia"/>
          <w:lang w:val="en-US" w:eastAsia="zh-CN"/>
        </w:rPr>
        <w:t>5.76</w:t>
      </w:r>
      <w:r>
        <w:rPr>
          <w:szCs w:val="24"/>
          <w:highlight w:val="none"/>
        </w:rPr>
        <w:t>hm</w:t>
      </w:r>
      <w:r>
        <w:rPr>
          <w:szCs w:val="24"/>
          <w:highlight w:val="none"/>
          <w:vertAlign w:val="superscript"/>
        </w:rPr>
        <w:t>2</w:t>
      </w:r>
      <w:r>
        <w:rPr>
          <w:szCs w:val="24"/>
          <w:highlight w:val="none"/>
        </w:rPr>
        <w:t>，建筑物</w:t>
      </w:r>
      <w:r>
        <w:rPr>
          <w:rFonts w:hint="eastAsia"/>
          <w:szCs w:val="24"/>
          <w:highlight w:val="none"/>
        </w:rPr>
        <w:t>、</w:t>
      </w:r>
      <w:r>
        <w:rPr>
          <w:szCs w:val="24"/>
          <w:highlight w:val="none"/>
        </w:rPr>
        <w:t>硬化固化</w:t>
      </w:r>
      <w:r>
        <w:rPr>
          <w:rFonts w:hint="eastAsia"/>
          <w:szCs w:val="24"/>
          <w:highlight w:val="none"/>
        </w:rPr>
        <w:t>及水面</w:t>
      </w:r>
      <w:r>
        <w:rPr>
          <w:szCs w:val="24"/>
          <w:highlight w:val="none"/>
        </w:rPr>
        <w:t>面积</w:t>
      </w:r>
      <w:r>
        <w:rPr>
          <w:rFonts w:hint="eastAsia"/>
          <w:szCs w:val="24"/>
          <w:highlight w:val="none"/>
          <w:lang w:val="en-US" w:eastAsia="zh-CN"/>
        </w:rPr>
        <w:t>5.27</w:t>
      </w:r>
      <w:r>
        <w:rPr>
          <w:szCs w:val="24"/>
          <w:highlight w:val="none"/>
        </w:rPr>
        <w:t>hm</w:t>
      </w:r>
      <w:r>
        <w:rPr>
          <w:szCs w:val="24"/>
          <w:highlight w:val="none"/>
          <w:vertAlign w:val="superscript"/>
        </w:rPr>
        <w:t>2</w:t>
      </w:r>
      <w:r>
        <w:rPr>
          <w:szCs w:val="24"/>
          <w:highlight w:val="none"/>
        </w:rPr>
        <w:t>，水土流失治理达标面积</w:t>
      </w:r>
      <w:r>
        <w:rPr>
          <w:rFonts w:hint="eastAsia"/>
          <w:szCs w:val="24"/>
          <w:highlight w:val="none"/>
          <w:lang w:val="en-US" w:eastAsia="zh-CN"/>
        </w:rPr>
        <w:t>10.03</w:t>
      </w:r>
      <w:r>
        <w:rPr>
          <w:szCs w:val="24"/>
          <w:highlight w:val="none"/>
        </w:rPr>
        <w:t>hm</w:t>
      </w:r>
      <w:r>
        <w:rPr>
          <w:szCs w:val="24"/>
          <w:highlight w:val="none"/>
          <w:vertAlign w:val="superscript"/>
        </w:rPr>
        <w:t>2</w:t>
      </w:r>
      <w:r>
        <w:rPr>
          <w:szCs w:val="24"/>
          <w:highlight w:val="none"/>
        </w:rPr>
        <w:t>，项目建设区水土流失总治理度为</w:t>
      </w:r>
      <w:r>
        <w:rPr>
          <w:rFonts w:hint="eastAsia"/>
          <w:szCs w:val="24"/>
          <w:highlight w:val="none"/>
        </w:rPr>
        <w:t>100</w:t>
      </w:r>
      <w:r>
        <w:rPr>
          <w:szCs w:val="24"/>
          <w:highlight w:val="none"/>
        </w:rPr>
        <w:t>％，达到方案设计及建设类项目水土流失防治标准值。</w:t>
      </w:r>
    </w:p>
    <w:p>
      <w:pPr>
        <w:pStyle w:val="7"/>
        <w:bidi w:val="0"/>
        <w:rPr>
          <w:rFonts w:hint="eastAsia"/>
        </w:rPr>
      </w:pPr>
      <w:r>
        <w:t>表</w:t>
      </w:r>
      <w:r>
        <w:rPr>
          <w:rFonts w:hint="eastAsia"/>
          <w:lang w:val="en-US" w:eastAsia="zh-CN"/>
        </w:rPr>
        <w:t>6</w:t>
      </w:r>
      <w:r>
        <w:t xml:space="preserve">.2- </w:t>
      </w:r>
      <w:r>
        <w:rPr>
          <w:rFonts w:hint="eastAsia"/>
          <w:lang w:val="en-US" w:eastAsia="zh-CN"/>
        </w:rPr>
        <w:t xml:space="preserve">3 </w:t>
      </w:r>
      <w:r>
        <w:rPr>
          <w:rFonts w:hint="eastAsia"/>
        </w:rPr>
        <w:t>水土流失总治理度计算表</w:t>
      </w:r>
    </w:p>
    <w:tbl>
      <w:tblPr>
        <w:tblStyle w:val="13"/>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1877"/>
        <w:gridCol w:w="2369"/>
        <w:gridCol w:w="208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585" w:hRule="atLeast"/>
        </w:trPr>
        <w:tc>
          <w:tcPr>
            <w:tcW w:w="22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bookmarkStart w:id="163" w:name="_Toc298858024"/>
            <w:bookmarkStart w:id="164" w:name="_Toc44318500"/>
            <w:bookmarkStart w:id="165" w:name="_Toc1162"/>
            <w:bookmarkStart w:id="166" w:name="_Toc31139"/>
            <w:r>
              <w:rPr>
                <w:kern w:val="0"/>
                <w:sz w:val="21"/>
                <w:szCs w:val="21"/>
              </w:rPr>
              <w:t>工程分区</w:t>
            </w:r>
          </w:p>
        </w:tc>
        <w:tc>
          <w:tcPr>
            <w:tcW w:w="18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水土流失面积（hm</w:t>
            </w:r>
            <w:r>
              <w:rPr>
                <w:kern w:val="0"/>
                <w:sz w:val="21"/>
                <w:szCs w:val="21"/>
                <w:vertAlign w:val="superscript"/>
              </w:rPr>
              <w:t>2</w:t>
            </w:r>
            <w:r>
              <w:rPr>
                <w:kern w:val="0"/>
                <w:sz w:val="21"/>
                <w:szCs w:val="21"/>
              </w:rPr>
              <w:t>）</w:t>
            </w:r>
          </w:p>
        </w:tc>
        <w:tc>
          <w:tcPr>
            <w:tcW w:w="236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水土流失治理达标面积（hm</w:t>
            </w:r>
            <w:r>
              <w:rPr>
                <w:kern w:val="0"/>
                <w:sz w:val="21"/>
                <w:szCs w:val="21"/>
                <w:vertAlign w:val="superscript"/>
              </w:rPr>
              <w:t>2</w:t>
            </w:r>
            <w:r>
              <w:rPr>
                <w:kern w:val="0"/>
                <w:sz w:val="21"/>
                <w:szCs w:val="21"/>
              </w:rPr>
              <w:t>）</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水土流失总治理度（%）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建筑物区</w:t>
            </w:r>
          </w:p>
        </w:tc>
        <w:tc>
          <w:tcPr>
            <w:tcW w:w="18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w:t>
            </w:r>
          </w:p>
        </w:tc>
        <w:tc>
          <w:tcPr>
            <w:tcW w:w="236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道路及管线区</w:t>
            </w:r>
          </w:p>
        </w:tc>
        <w:tc>
          <w:tcPr>
            <w:tcW w:w="18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w:t>
            </w:r>
          </w:p>
        </w:tc>
        <w:tc>
          <w:tcPr>
            <w:tcW w:w="236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绿化区</w:t>
            </w:r>
          </w:p>
        </w:tc>
        <w:tc>
          <w:tcPr>
            <w:tcW w:w="18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3.22</w:t>
            </w:r>
          </w:p>
        </w:tc>
        <w:tc>
          <w:tcPr>
            <w:tcW w:w="236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eastAsia="仿宋_GB2312"/>
                <w:kern w:val="0"/>
                <w:sz w:val="21"/>
                <w:szCs w:val="21"/>
                <w:lang w:eastAsia="zh-CN"/>
              </w:rPr>
            </w:pPr>
            <w:r>
              <w:rPr>
                <w:rFonts w:hint="eastAsia"/>
                <w:kern w:val="0"/>
                <w:sz w:val="21"/>
                <w:szCs w:val="21"/>
              </w:rPr>
              <w:t>3.22</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eastAsia="仿宋_GB2312"/>
                <w:kern w:val="0"/>
                <w:sz w:val="21"/>
                <w:szCs w:val="21"/>
                <w:lang w:val="en-US" w:eastAsia="zh-CN"/>
              </w:rPr>
            </w:pPr>
            <w:r>
              <w:rPr>
                <w:rFonts w:hint="eastAsia"/>
                <w:kern w:val="0"/>
                <w:sz w:val="21"/>
                <w:szCs w:val="21"/>
                <w:lang w:val="en-US" w:eastAsia="zh-CN"/>
              </w:rPr>
              <w:t>100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预留用地区</w:t>
            </w:r>
          </w:p>
        </w:tc>
        <w:tc>
          <w:tcPr>
            <w:tcW w:w="18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2.54</w:t>
            </w:r>
          </w:p>
        </w:tc>
        <w:tc>
          <w:tcPr>
            <w:tcW w:w="236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eastAsia="仿宋_GB2312"/>
                <w:kern w:val="0"/>
                <w:sz w:val="21"/>
                <w:szCs w:val="21"/>
                <w:lang w:val="en-US" w:eastAsia="zh-CN"/>
              </w:rPr>
            </w:pPr>
            <w:r>
              <w:rPr>
                <w:rFonts w:hint="eastAsia"/>
                <w:kern w:val="0"/>
                <w:sz w:val="21"/>
                <w:szCs w:val="21"/>
              </w:rPr>
              <w:t>2.54</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lang w:val="en-US" w:eastAsia="zh-CN"/>
              </w:rPr>
              <w:t>100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临时堆土区</w:t>
            </w:r>
          </w:p>
        </w:tc>
        <w:tc>
          <w:tcPr>
            <w:tcW w:w="18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（0.64）</w:t>
            </w:r>
          </w:p>
        </w:tc>
        <w:tc>
          <w:tcPr>
            <w:tcW w:w="236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（0.64）</w:t>
            </w:r>
          </w:p>
        </w:tc>
        <w:tc>
          <w:tcPr>
            <w:tcW w:w="2086"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000000"/>
                <w:sz w:val="21"/>
                <w:szCs w:val="21"/>
              </w:rPr>
            </w:pPr>
            <w:r>
              <w:rPr>
                <w:rFonts w:hint="eastAsia"/>
                <w:kern w:val="0"/>
                <w:sz w:val="21"/>
                <w:szCs w:val="21"/>
                <w:lang w:val="en-US" w:eastAsia="zh-CN"/>
              </w:rPr>
              <w:t>100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施工营造区</w:t>
            </w:r>
          </w:p>
        </w:tc>
        <w:tc>
          <w:tcPr>
            <w:tcW w:w="18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（0.2）</w:t>
            </w:r>
          </w:p>
        </w:tc>
        <w:tc>
          <w:tcPr>
            <w:tcW w:w="236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（0.2）</w:t>
            </w:r>
          </w:p>
        </w:tc>
        <w:tc>
          <w:tcPr>
            <w:tcW w:w="2086"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000000"/>
                <w:sz w:val="21"/>
                <w:szCs w:val="21"/>
              </w:rPr>
            </w:pPr>
            <w:r>
              <w:rPr>
                <w:rFonts w:hint="eastAsia"/>
                <w:kern w:val="0"/>
                <w:sz w:val="21"/>
                <w:szCs w:val="21"/>
                <w:lang w:val="en-US" w:eastAsia="zh-CN"/>
              </w:rPr>
              <w:t>100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0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合计</w:t>
            </w:r>
          </w:p>
        </w:tc>
        <w:tc>
          <w:tcPr>
            <w:tcW w:w="18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5.76</w:t>
            </w:r>
          </w:p>
        </w:tc>
        <w:tc>
          <w:tcPr>
            <w:tcW w:w="236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5.76</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lang w:val="en-US" w:eastAsia="zh-CN"/>
              </w:rPr>
              <w:t>100</w:t>
            </w:r>
          </w:p>
        </w:tc>
      </w:tr>
    </w:tbl>
    <w:p>
      <w:pPr>
        <w:pStyle w:val="4"/>
      </w:pPr>
      <w:r>
        <w:t>6.4 拦渣率</w:t>
      </w:r>
      <w:bookmarkEnd w:id="163"/>
      <w:bookmarkEnd w:id="164"/>
      <w:bookmarkEnd w:id="165"/>
      <w:bookmarkEnd w:id="166"/>
    </w:p>
    <w:p>
      <w:pPr>
        <w:pStyle w:val="24"/>
        <w:spacing w:line="360" w:lineRule="auto"/>
        <w:ind w:firstLine="480"/>
        <w:rPr>
          <w:rFonts w:eastAsia="仿宋_GB2312"/>
          <w:sz w:val="24"/>
          <w:szCs w:val="24"/>
        </w:rPr>
      </w:pPr>
      <w:r>
        <w:rPr>
          <w:rFonts w:eastAsia="仿宋_GB2312"/>
          <w:sz w:val="24"/>
          <w:szCs w:val="24"/>
        </w:rPr>
        <w:t>拦渣率是指项目建设区内采取措施实际拦挡的弃土（石、渣）量与工程弃土（石、渣）总量的百分比。</w:t>
      </w:r>
    </w:p>
    <w:p>
      <w:pPr>
        <w:bidi w:val="0"/>
      </w:pPr>
      <w:r>
        <w:rPr>
          <w:rFonts w:hint="eastAsia"/>
        </w:rPr>
        <w:t>根据现场调查情况和有关资料显示，项目施工过程中土方随挖随运，场地四周设有施工围墙，能有效防止场内泥沙外流。项目完工后水土保持措施落实到位，拦渣率达到</w:t>
      </w:r>
      <w:r>
        <w:rPr>
          <w:rFonts w:hint="eastAsia"/>
          <w:lang w:val="en-US" w:eastAsia="zh-CN"/>
        </w:rPr>
        <w:t>99</w:t>
      </w:r>
      <w:r>
        <w:rPr>
          <w:rFonts w:hint="eastAsia"/>
        </w:rPr>
        <w:t>%，达到防治目标要求。</w:t>
      </w:r>
    </w:p>
    <w:p>
      <w:pPr>
        <w:pStyle w:val="4"/>
      </w:pPr>
      <w:bookmarkStart w:id="167" w:name="_Toc15209"/>
      <w:bookmarkStart w:id="168" w:name="_Toc44318501"/>
      <w:bookmarkStart w:id="169" w:name="_Toc21539"/>
      <w:r>
        <w:t>6.5 土壤流失控制比</w:t>
      </w:r>
      <w:bookmarkEnd w:id="167"/>
      <w:bookmarkEnd w:id="168"/>
      <w:bookmarkEnd w:id="169"/>
    </w:p>
    <w:p>
      <w:pPr>
        <w:pStyle w:val="24"/>
        <w:spacing w:line="360" w:lineRule="auto"/>
        <w:ind w:firstLine="480"/>
        <w:rPr>
          <w:rFonts w:eastAsia="仿宋_GB2312"/>
          <w:sz w:val="24"/>
          <w:szCs w:val="24"/>
        </w:rPr>
      </w:pPr>
      <w:r>
        <w:rPr>
          <w:rFonts w:eastAsia="仿宋_GB2312"/>
          <w:sz w:val="24"/>
          <w:szCs w:val="24"/>
        </w:rPr>
        <w:t>土壤流失控制比是指项目建设区内，治理后的容许土壤流失量与平均土壤流失强度之比。</w:t>
      </w:r>
    </w:p>
    <w:p>
      <w:pPr>
        <w:ind w:firstLine="480"/>
      </w:pPr>
      <w:r>
        <w:rPr>
          <w:szCs w:val="24"/>
        </w:rPr>
        <w:t>项目区所处区域容许土壤流失量为500t/(km</w:t>
      </w:r>
      <w:r>
        <w:rPr>
          <w:szCs w:val="24"/>
          <w:vertAlign w:val="superscript"/>
        </w:rPr>
        <w:t>2</w:t>
      </w:r>
      <w:r>
        <w:rPr>
          <w:szCs w:val="24"/>
        </w:rPr>
        <w:t>·a)，工程各项水土保持防治措施实施后，各分部防治措施开始发挥其水土保持效益，项目区内扰动类型多转化为无危害扰动。经</w:t>
      </w:r>
      <w:r>
        <w:rPr>
          <w:rFonts w:hint="eastAsia"/>
          <w:szCs w:val="24"/>
        </w:rPr>
        <w:t>现场复核</w:t>
      </w:r>
      <w:r>
        <w:rPr>
          <w:szCs w:val="24"/>
        </w:rPr>
        <w:t>，工程项目区内扰动地表经治理后，平均土壤侵蚀强度降低至500t/(km</w:t>
      </w:r>
      <w:r>
        <w:rPr>
          <w:szCs w:val="24"/>
          <w:vertAlign w:val="superscript"/>
        </w:rPr>
        <w:t>2</w:t>
      </w:r>
      <w:r>
        <w:rPr>
          <w:szCs w:val="24"/>
        </w:rPr>
        <w:t>·a)或以下，土壤流失控制比为1.0</w:t>
      </w:r>
      <w:r>
        <w:rPr>
          <w:rFonts w:hint="eastAsia"/>
          <w:szCs w:val="24"/>
        </w:rPr>
        <w:t>，</w:t>
      </w:r>
      <w:r>
        <w:rPr>
          <w:szCs w:val="24"/>
        </w:rPr>
        <w:t>达到方案设计及建设类项目水土流失防治标准值。</w:t>
      </w:r>
    </w:p>
    <w:p>
      <w:pPr>
        <w:pStyle w:val="4"/>
      </w:pPr>
      <w:bookmarkStart w:id="170" w:name="_Toc44318502"/>
      <w:bookmarkStart w:id="171" w:name="_Toc25240"/>
      <w:bookmarkStart w:id="172" w:name="_Toc32668"/>
      <w:r>
        <w:t>6.6 林草植被恢复率和林草覆盖率</w:t>
      </w:r>
      <w:bookmarkEnd w:id="170"/>
      <w:bookmarkEnd w:id="171"/>
      <w:bookmarkEnd w:id="172"/>
    </w:p>
    <w:p>
      <w:pPr>
        <w:pStyle w:val="24"/>
        <w:spacing w:line="360" w:lineRule="auto"/>
        <w:ind w:firstLine="480"/>
        <w:rPr>
          <w:rFonts w:eastAsia="仿宋_GB2312"/>
          <w:sz w:val="24"/>
          <w:szCs w:val="24"/>
        </w:rPr>
      </w:pPr>
      <w:r>
        <w:rPr>
          <w:rFonts w:eastAsia="仿宋_GB2312"/>
          <w:sz w:val="24"/>
          <w:szCs w:val="24"/>
        </w:rPr>
        <w:t>（1）林草植被恢复率</w:t>
      </w:r>
    </w:p>
    <w:p>
      <w:pPr>
        <w:pStyle w:val="24"/>
        <w:spacing w:line="360" w:lineRule="auto"/>
        <w:ind w:firstLine="480"/>
        <w:rPr>
          <w:rFonts w:eastAsia="仿宋_GB2312"/>
          <w:sz w:val="24"/>
          <w:szCs w:val="24"/>
        </w:rPr>
      </w:pPr>
      <w:r>
        <w:rPr>
          <w:rFonts w:eastAsia="仿宋_GB2312"/>
          <w:sz w:val="24"/>
          <w:szCs w:val="24"/>
        </w:rPr>
        <w:t>林草植被恢复率是指项目建设区内，林草类植被面积占可恢复林草植被（目前经济、技术条件下适宜于恢复林草植被）面积的百分比。可恢复植被面积是指在当前技术经济条件下，通过分析论证确定的可以采取植物措施的面积，不含国家规定应恢复农耕的面积，以批准的水土保持方案数据为准。</w:t>
      </w:r>
    </w:p>
    <w:p>
      <w:pPr>
        <w:pStyle w:val="24"/>
        <w:spacing w:line="360" w:lineRule="auto"/>
        <w:ind w:firstLine="480"/>
        <w:rPr>
          <w:rFonts w:eastAsia="仿宋_GB2312"/>
          <w:sz w:val="24"/>
          <w:szCs w:val="24"/>
        </w:rPr>
      </w:pPr>
      <w:r>
        <w:rPr>
          <w:rFonts w:eastAsia="仿宋_GB2312"/>
          <w:sz w:val="24"/>
          <w:szCs w:val="24"/>
        </w:rPr>
        <w:t>（2）林草覆盖率</w:t>
      </w:r>
    </w:p>
    <w:p>
      <w:pPr>
        <w:pStyle w:val="24"/>
        <w:spacing w:line="360" w:lineRule="auto"/>
        <w:ind w:firstLine="480"/>
        <w:rPr>
          <w:rFonts w:eastAsia="仿宋_GB2312"/>
          <w:sz w:val="24"/>
          <w:szCs w:val="24"/>
        </w:rPr>
      </w:pPr>
      <w:r>
        <w:rPr>
          <w:rFonts w:eastAsia="仿宋_GB2312"/>
          <w:sz w:val="24"/>
          <w:szCs w:val="24"/>
        </w:rPr>
        <w:t>林草覆盖率是指林草类植被面积占项目建设区面积的百分比。林草面积是指开发建设项目的项目建设区内所有人工和天然森林、灌木林和草地的面积。其中森林的郁闭度应达到0.2以上（不含0.2）；灌木林和草地的覆盖率应达到0.4以上（不含0.4）；零星植树可根据不同树种的造林密度折合为面积。</w:t>
      </w:r>
    </w:p>
    <w:p>
      <w:pPr>
        <w:pStyle w:val="7"/>
        <w:bidi w:val="0"/>
        <w:rPr>
          <w:rFonts w:hint="default" w:eastAsia="仿宋_GB2312"/>
          <w:lang w:val="en-US" w:eastAsia="zh-CN"/>
        </w:rPr>
      </w:pPr>
      <w:r>
        <w:t xml:space="preserve">表6.1- </w:t>
      </w:r>
      <w:r>
        <w:fldChar w:fldCharType="begin"/>
      </w:r>
      <w:r>
        <w:instrText xml:space="preserve"> SEQ 表6.1- \* ARABIC </w:instrText>
      </w:r>
      <w:r>
        <w:fldChar w:fldCharType="separate"/>
      </w:r>
      <w:r>
        <w:t>4</w:t>
      </w:r>
      <w:r>
        <w:fldChar w:fldCharType="end"/>
      </w:r>
      <w:r>
        <w:t>林草植被恢复率和林草覆盖率</w:t>
      </w:r>
      <w:r>
        <w:rPr>
          <w:rFonts w:hint="eastAsia"/>
          <w:lang w:val="en-US" w:eastAsia="zh-CN"/>
        </w:rPr>
        <w:t>计算表</w:t>
      </w:r>
    </w:p>
    <w:tbl>
      <w:tblPr>
        <w:tblStyle w:val="13"/>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827"/>
        <w:gridCol w:w="1452"/>
        <w:gridCol w:w="1388"/>
        <w:gridCol w:w="1388"/>
        <w:gridCol w:w="1434"/>
        <w:gridCol w:w="135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 w:hRule="atLeast"/>
        </w:trPr>
        <w:tc>
          <w:tcPr>
            <w:tcW w:w="182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项目分期</w:t>
            </w:r>
          </w:p>
        </w:tc>
        <w:tc>
          <w:tcPr>
            <w:tcW w:w="145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项目建设区面积（hm</w:t>
            </w:r>
            <w:r>
              <w:rPr>
                <w:kern w:val="0"/>
                <w:sz w:val="21"/>
                <w:szCs w:val="21"/>
                <w:vertAlign w:val="superscript"/>
              </w:rPr>
              <w:t>2</w:t>
            </w:r>
            <w:r>
              <w:rPr>
                <w:kern w:val="0"/>
                <w:sz w:val="21"/>
                <w:szCs w:val="21"/>
              </w:rPr>
              <w:t>）</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植物措施面积（hm</w:t>
            </w:r>
            <w:r>
              <w:rPr>
                <w:kern w:val="0"/>
                <w:sz w:val="21"/>
                <w:szCs w:val="21"/>
                <w:vertAlign w:val="superscript"/>
              </w:rPr>
              <w:t>2</w:t>
            </w:r>
            <w:r>
              <w:rPr>
                <w:kern w:val="0"/>
                <w:sz w:val="21"/>
                <w:szCs w:val="21"/>
              </w:rPr>
              <w:t>）</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可绿化</w:t>
            </w:r>
            <w:r>
              <w:rPr>
                <w:kern w:val="0"/>
                <w:sz w:val="21"/>
                <w:szCs w:val="21"/>
              </w:rPr>
              <w:br w:type="textWrapping"/>
            </w:r>
            <w:r>
              <w:rPr>
                <w:kern w:val="0"/>
                <w:sz w:val="21"/>
                <w:szCs w:val="21"/>
              </w:rPr>
              <w:t>面积（hm</w:t>
            </w:r>
            <w:r>
              <w:rPr>
                <w:kern w:val="0"/>
                <w:sz w:val="21"/>
                <w:szCs w:val="21"/>
                <w:vertAlign w:val="superscript"/>
              </w:rPr>
              <w:t>2</w:t>
            </w:r>
            <w:r>
              <w:rPr>
                <w:kern w:val="0"/>
                <w:sz w:val="21"/>
                <w:szCs w:val="21"/>
              </w:rPr>
              <w:t>）</w:t>
            </w:r>
          </w:p>
        </w:tc>
        <w:tc>
          <w:tcPr>
            <w:tcW w:w="143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林草植被覆盖率（%）</w:t>
            </w:r>
          </w:p>
        </w:tc>
        <w:tc>
          <w:tcPr>
            <w:tcW w:w="135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林草植被恢复率（%）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6" w:hRule="atLeast"/>
        </w:trPr>
        <w:tc>
          <w:tcPr>
            <w:tcW w:w="182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建筑物区</w:t>
            </w:r>
          </w:p>
        </w:tc>
        <w:tc>
          <w:tcPr>
            <w:tcW w:w="145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1.96</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43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35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827"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道路及管线区</w:t>
            </w:r>
          </w:p>
        </w:tc>
        <w:tc>
          <w:tcPr>
            <w:tcW w:w="145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2.31</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43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c>
          <w:tcPr>
            <w:tcW w:w="135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827"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绿化区</w:t>
            </w:r>
          </w:p>
        </w:tc>
        <w:tc>
          <w:tcPr>
            <w:tcW w:w="145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3.22</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3.22</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3.22</w:t>
            </w:r>
          </w:p>
        </w:tc>
        <w:tc>
          <w:tcPr>
            <w:tcW w:w="143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eastAsia="仿宋_GB2312"/>
                <w:kern w:val="0"/>
                <w:sz w:val="21"/>
                <w:szCs w:val="21"/>
                <w:lang w:val="en-US" w:eastAsia="zh-CN"/>
              </w:rPr>
            </w:pPr>
            <w:r>
              <w:rPr>
                <w:rFonts w:hint="eastAsia"/>
                <w:kern w:val="0"/>
                <w:sz w:val="21"/>
                <w:szCs w:val="21"/>
                <w:lang w:val="en-US" w:eastAsia="zh-CN"/>
              </w:rPr>
              <w:t>100</w:t>
            </w:r>
          </w:p>
        </w:tc>
        <w:tc>
          <w:tcPr>
            <w:tcW w:w="135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kern w:val="0"/>
                <w:sz w:val="21"/>
                <w:szCs w:val="21"/>
              </w:rPr>
            </w:pPr>
            <w:r>
              <w:rPr>
                <w:rFonts w:hint="eastAsia"/>
                <w:kern w:val="0"/>
                <w:sz w:val="21"/>
                <w:szCs w:val="21"/>
                <w:lang w:val="en-US" w:eastAsia="zh-CN"/>
              </w:rPr>
              <w:t>100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827"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预留用地区</w:t>
            </w:r>
          </w:p>
        </w:tc>
        <w:tc>
          <w:tcPr>
            <w:tcW w:w="145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2.54</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2.54</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2.54</w:t>
            </w:r>
          </w:p>
        </w:tc>
        <w:tc>
          <w:tcPr>
            <w:tcW w:w="143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lang w:val="en-US" w:eastAsia="zh-CN"/>
              </w:rPr>
              <w:t>100</w:t>
            </w:r>
          </w:p>
        </w:tc>
        <w:tc>
          <w:tcPr>
            <w:tcW w:w="135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kern w:val="0"/>
                <w:sz w:val="21"/>
                <w:szCs w:val="21"/>
              </w:rPr>
            </w:pPr>
            <w:r>
              <w:rPr>
                <w:rFonts w:hint="eastAsia"/>
                <w:kern w:val="0"/>
                <w:sz w:val="21"/>
                <w:szCs w:val="21"/>
                <w:lang w:val="en-US" w:eastAsia="zh-CN"/>
              </w:rPr>
              <w:t>100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827"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临时堆土区</w:t>
            </w:r>
          </w:p>
        </w:tc>
        <w:tc>
          <w:tcPr>
            <w:tcW w:w="145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（0.64）</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（0.64）</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（0.64）</w:t>
            </w:r>
          </w:p>
        </w:tc>
        <w:tc>
          <w:tcPr>
            <w:tcW w:w="1434"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000000"/>
                <w:sz w:val="21"/>
                <w:szCs w:val="21"/>
              </w:rPr>
            </w:pPr>
            <w:r>
              <w:rPr>
                <w:rFonts w:hint="eastAsia"/>
                <w:kern w:val="0"/>
                <w:sz w:val="21"/>
                <w:szCs w:val="21"/>
                <w:lang w:val="en-US" w:eastAsia="zh-CN"/>
              </w:rPr>
              <w:t>100</w:t>
            </w:r>
          </w:p>
        </w:tc>
        <w:tc>
          <w:tcPr>
            <w:tcW w:w="1353"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420" w:firstLineChars="200"/>
              <w:jc w:val="both"/>
              <w:textAlignment w:val="auto"/>
              <w:rPr>
                <w:color w:val="000000"/>
                <w:sz w:val="21"/>
                <w:szCs w:val="21"/>
              </w:rPr>
            </w:pPr>
            <w:r>
              <w:rPr>
                <w:rFonts w:hint="eastAsia"/>
                <w:kern w:val="0"/>
                <w:sz w:val="21"/>
                <w:szCs w:val="21"/>
                <w:lang w:val="en-US" w:eastAsia="zh-CN"/>
              </w:rPr>
              <w:t>100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827"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施工营造区</w:t>
            </w:r>
          </w:p>
        </w:tc>
        <w:tc>
          <w:tcPr>
            <w:tcW w:w="145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（0.2）</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（0.2）</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kern w:val="0"/>
                <w:sz w:val="21"/>
                <w:szCs w:val="21"/>
              </w:rPr>
            </w:pPr>
            <w:r>
              <w:rPr>
                <w:rFonts w:hint="eastAsia"/>
                <w:kern w:val="0"/>
                <w:sz w:val="21"/>
                <w:szCs w:val="21"/>
              </w:rPr>
              <w:t>（0.2）</w:t>
            </w:r>
          </w:p>
        </w:tc>
        <w:tc>
          <w:tcPr>
            <w:tcW w:w="1434"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000000"/>
                <w:sz w:val="21"/>
                <w:szCs w:val="21"/>
              </w:rPr>
            </w:pPr>
            <w:r>
              <w:rPr>
                <w:rFonts w:hint="eastAsia"/>
                <w:kern w:val="0"/>
                <w:sz w:val="21"/>
                <w:szCs w:val="21"/>
                <w:lang w:val="en-US" w:eastAsia="zh-CN"/>
              </w:rPr>
              <w:t>100</w:t>
            </w:r>
          </w:p>
        </w:tc>
        <w:tc>
          <w:tcPr>
            <w:tcW w:w="1353"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420" w:firstLineChars="200"/>
              <w:jc w:val="both"/>
              <w:textAlignment w:val="auto"/>
              <w:rPr>
                <w:color w:val="000000"/>
                <w:sz w:val="21"/>
                <w:szCs w:val="21"/>
              </w:rPr>
            </w:pPr>
            <w:r>
              <w:rPr>
                <w:rFonts w:hint="eastAsia"/>
                <w:kern w:val="0"/>
                <w:sz w:val="21"/>
                <w:szCs w:val="21"/>
                <w:lang w:val="en-US" w:eastAsia="zh-CN"/>
              </w:rPr>
              <w:t>100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82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kern w:val="0"/>
                <w:sz w:val="21"/>
                <w:szCs w:val="21"/>
              </w:rPr>
              <w:t>合计</w:t>
            </w:r>
          </w:p>
        </w:tc>
        <w:tc>
          <w:tcPr>
            <w:tcW w:w="145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10.03</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5.76</w:t>
            </w:r>
          </w:p>
        </w:tc>
        <w:tc>
          <w:tcPr>
            <w:tcW w:w="138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5.76</w:t>
            </w:r>
          </w:p>
        </w:tc>
        <w:tc>
          <w:tcPr>
            <w:tcW w:w="143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kern w:val="0"/>
                <w:sz w:val="21"/>
                <w:szCs w:val="21"/>
              </w:rPr>
            </w:pPr>
            <w:r>
              <w:rPr>
                <w:rFonts w:hint="eastAsia"/>
                <w:kern w:val="0"/>
                <w:sz w:val="21"/>
                <w:szCs w:val="21"/>
              </w:rPr>
              <w:t>57.0</w:t>
            </w:r>
          </w:p>
        </w:tc>
        <w:tc>
          <w:tcPr>
            <w:tcW w:w="135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kern w:val="0"/>
                <w:sz w:val="21"/>
                <w:szCs w:val="21"/>
              </w:rPr>
            </w:pPr>
            <w:r>
              <w:rPr>
                <w:rFonts w:hint="eastAsia"/>
                <w:kern w:val="0"/>
                <w:sz w:val="21"/>
                <w:szCs w:val="21"/>
                <w:lang w:val="en-US" w:eastAsia="zh-CN"/>
              </w:rPr>
              <w:t>100</w:t>
            </w:r>
          </w:p>
        </w:tc>
      </w:tr>
    </w:tbl>
    <w:p>
      <w:pPr>
        <w:pStyle w:val="24"/>
        <w:ind w:left="0" w:leftChars="0" w:firstLine="0" w:firstLineChars="0"/>
        <w:rPr>
          <w:rFonts w:hint="default"/>
          <w:color w:val="auto"/>
          <w:lang w:val="en-US" w:eastAsia="zh-CN"/>
        </w:rPr>
        <w:sectPr>
          <w:headerReference r:id="rId2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
      </w:pPr>
      <w:bookmarkStart w:id="173" w:name="_Toc3982"/>
      <w:bookmarkStart w:id="174" w:name="_Toc22196"/>
      <w:bookmarkStart w:id="175" w:name="_Toc44318503"/>
      <w:r>
        <w:t>6.</w:t>
      </w:r>
      <w:r>
        <w:rPr>
          <w:rFonts w:hint="eastAsia"/>
          <w:lang w:eastAsia="zh-CN"/>
        </w:rPr>
        <w:t>7</w:t>
      </w:r>
      <w:r>
        <w:t xml:space="preserve"> </w:t>
      </w:r>
      <w:r>
        <w:rPr>
          <w:rFonts w:hint="eastAsia"/>
        </w:rPr>
        <w:t>水土流失防治指标达标情况</w:t>
      </w:r>
      <w:bookmarkEnd w:id="173"/>
      <w:bookmarkEnd w:id="174"/>
      <w:bookmarkEnd w:id="175"/>
    </w:p>
    <w:p>
      <w:pPr>
        <w:pStyle w:val="24"/>
        <w:rPr>
          <w:rFonts w:hint="eastAsia"/>
          <w:lang w:eastAsia="zh-CN"/>
        </w:rPr>
      </w:pPr>
      <w:r>
        <w:rPr>
          <w:rFonts w:hint="eastAsia"/>
        </w:rPr>
        <w:t>根据以上对水土保持六项指标的计算，基本达到方案设计的目标值。</w:t>
      </w:r>
      <w:r>
        <w:t>水土流失防治指标达标情况见</w:t>
      </w:r>
      <w:r>
        <w:rPr>
          <w:rFonts w:hint="default"/>
          <w:lang w:val="en-US"/>
        </w:rPr>
        <w:fldChar w:fldCharType="begin"/>
      </w:r>
      <w:r>
        <w:rPr>
          <w:rFonts w:hint="default"/>
          <w:lang w:val="en-US"/>
        </w:rPr>
        <w:instrText xml:space="preserve"> REF _Ref31319 \h </w:instrText>
      </w:r>
      <w:r>
        <w:rPr>
          <w:rFonts w:hint="default"/>
          <w:lang w:val="en-US"/>
        </w:rPr>
        <w:fldChar w:fldCharType="separate"/>
      </w:r>
      <w:r>
        <w:t>表6.1- 5</w:t>
      </w:r>
      <w:r>
        <w:rPr>
          <w:rFonts w:hint="default"/>
          <w:lang w:val="en-US"/>
        </w:rPr>
        <w:fldChar w:fldCharType="end"/>
      </w:r>
      <w:r>
        <w:t>。</w:t>
      </w:r>
    </w:p>
    <w:p>
      <w:pPr>
        <w:pStyle w:val="7"/>
        <w:bidi w:val="0"/>
        <w:rPr>
          <w:rFonts w:hint="eastAsia"/>
        </w:rPr>
      </w:pPr>
      <w:bookmarkStart w:id="176" w:name="_Ref31319"/>
      <w:r>
        <w:t xml:space="preserve">表6.1- </w:t>
      </w:r>
      <w:r>
        <w:fldChar w:fldCharType="begin"/>
      </w:r>
      <w:r>
        <w:instrText xml:space="preserve"> SEQ 表6.1- \* ARABIC </w:instrText>
      </w:r>
      <w:r>
        <w:fldChar w:fldCharType="separate"/>
      </w:r>
      <w:r>
        <w:t>5</w:t>
      </w:r>
      <w:r>
        <w:fldChar w:fldCharType="end"/>
      </w:r>
      <w:bookmarkEnd w:id="176"/>
      <w:r>
        <w:rPr>
          <w:rFonts w:hint="eastAsia"/>
        </w:rPr>
        <w:t>水土保持防治指标达标情况表</w:t>
      </w:r>
    </w:p>
    <w:tbl>
      <w:tblPr>
        <w:tblStyle w:val="13"/>
        <w:tblW w:w="5000" w:type="pct"/>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312"/>
        <w:gridCol w:w="2071"/>
        <w:gridCol w:w="1254"/>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1991"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防治指标</w:t>
            </w:r>
          </w:p>
        </w:tc>
        <w:tc>
          <w:tcPr>
            <w:tcW w:w="1245"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方案目标值</w:t>
            </w:r>
          </w:p>
        </w:tc>
        <w:tc>
          <w:tcPr>
            <w:tcW w:w="754"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实际值</w:t>
            </w:r>
          </w:p>
        </w:tc>
        <w:tc>
          <w:tcPr>
            <w:tcW w:w="1009"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1991" w:type="pct"/>
            <w:noWrap w:val="0"/>
            <w:tcMar>
              <w:top w:w="57" w:type="dxa"/>
              <w:bottom w:w="57" w:type="dxa"/>
            </w:tcMar>
            <w:vAlign w:val="center"/>
          </w:tcPr>
          <w:p>
            <w:pPr>
              <w:widowControl/>
              <w:spacing w:line="240" w:lineRule="auto"/>
              <w:ind w:firstLine="0" w:firstLineChars="0"/>
              <w:jc w:val="center"/>
              <w:rPr>
                <w:rFonts w:hint="eastAsia" w:eastAsia="仿宋_GB2312"/>
                <w:kern w:val="0"/>
                <w:sz w:val="21"/>
                <w:szCs w:val="21"/>
                <w:lang w:val="en-US" w:eastAsia="zh-CN"/>
              </w:rPr>
            </w:pPr>
            <w:r>
              <w:rPr>
                <w:kern w:val="0"/>
                <w:sz w:val="21"/>
                <w:szCs w:val="21"/>
              </w:rPr>
              <w:t>扰动土地整治率</w:t>
            </w:r>
            <w:r>
              <w:rPr>
                <w:rFonts w:hint="eastAsia"/>
                <w:kern w:val="0"/>
                <w:sz w:val="21"/>
                <w:szCs w:val="21"/>
                <w:lang w:val="en-US" w:eastAsia="zh-CN"/>
              </w:rPr>
              <w:t xml:space="preserve"> %</w:t>
            </w:r>
          </w:p>
        </w:tc>
        <w:tc>
          <w:tcPr>
            <w:tcW w:w="2191" w:type="dxa"/>
            <w:noWrap w:val="0"/>
            <w:tcMar>
              <w:top w:w="57" w:type="dxa"/>
              <w:bottom w:w="57" w:type="dxa"/>
            </w:tcMar>
            <w:vAlign w:val="center"/>
          </w:tcPr>
          <w:p>
            <w:pPr>
              <w:widowControl/>
              <w:spacing w:line="240" w:lineRule="auto"/>
              <w:ind w:firstLine="0" w:firstLineChars="0"/>
              <w:jc w:val="center"/>
              <w:rPr>
                <w:rFonts w:hint="eastAsia"/>
                <w:kern w:val="0"/>
                <w:sz w:val="21"/>
                <w:szCs w:val="21"/>
              </w:rPr>
            </w:pPr>
            <w:r>
              <w:rPr>
                <w:rFonts w:hint="eastAsia"/>
                <w:kern w:val="0"/>
                <w:sz w:val="21"/>
                <w:szCs w:val="21"/>
                <w:lang w:val="en-US" w:eastAsia="zh-CN"/>
              </w:rPr>
              <w:t>90</w:t>
            </w:r>
          </w:p>
        </w:tc>
        <w:tc>
          <w:tcPr>
            <w:tcW w:w="754" w:type="pct"/>
            <w:noWrap w:val="0"/>
            <w:tcMar>
              <w:top w:w="57" w:type="dxa"/>
              <w:bottom w:w="57" w:type="dxa"/>
            </w:tcMar>
            <w:vAlign w:val="center"/>
          </w:tcPr>
          <w:p>
            <w:pPr>
              <w:widowControl/>
              <w:spacing w:line="240" w:lineRule="auto"/>
              <w:ind w:firstLine="0" w:firstLineChars="0"/>
              <w:jc w:val="center"/>
              <w:rPr>
                <w:rFonts w:hint="default" w:eastAsia="仿宋_GB2312"/>
                <w:kern w:val="0"/>
                <w:sz w:val="21"/>
                <w:szCs w:val="21"/>
                <w:lang w:val="en-US" w:eastAsia="zh-CN"/>
              </w:rPr>
            </w:pPr>
            <w:r>
              <w:rPr>
                <w:rFonts w:hint="eastAsia"/>
                <w:kern w:val="0"/>
                <w:sz w:val="21"/>
                <w:szCs w:val="21"/>
                <w:lang w:val="en-US" w:eastAsia="zh-CN"/>
              </w:rPr>
              <w:t>99.7</w:t>
            </w:r>
          </w:p>
        </w:tc>
        <w:tc>
          <w:tcPr>
            <w:tcW w:w="1009"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1991"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水土流失总治理度</w:t>
            </w:r>
            <w:r>
              <w:rPr>
                <w:rFonts w:hint="eastAsia"/>
                <w:kern w:val="0"/>
                <w:sz w:val="21"/>
                <w:szCs w:val="21"/>
                <w:lang w:val="en-US" w:eastAsia="zh-CN"/>
              </w:rPr>
              <w:t xml:space="preserve"> %</w:t>
            </w:r>
          </w:p>
        </w:tc>
        <w:tc>
          <w:tcPr>
            <w:tcW w:w="2191" w:type="dxa"/>
            <w:noWrap w:val="0"/>
            <w:tcMar>
              <w:top w:w="57" w:type="dxa"/>
              <w:bottom w:w="57" w:type="dxa"/>
            </w:tcMar>
            <w:vAlign w:val="center"/>
          </w:tcPr>
          <w:p>
            <w:pPr>
              <w:widowControl/>
              <w:spacing w:line="240" w:lineRule="auto"/>
              <w:ind w:firstLine="0" w:firstLineChars="0"/>
              <w:jc w:val="center"/>
              <w:rPr>
                <w:rFonts w:hint="default" w:eastAsia="仿宋_GB2312"/>
                <w:kern w:val="0"/>
                <w:sz w:val="21"/>
                <w:szCs w:val="21"/>
                <w:lang w:val="en-US" w:eastAsia="zh-CN"/>
              </w:rPr>
            </w:pPr>
            <w:r>
              <w:rPr>
                <w:rFonts w:hint="eastAsia"/>
                <w:kern w:val="0"/>
                <w:sz w:val="21"/>
                <w:szCs w:val="21"/>
                <w:lang w:val="en-US" w:eastAsia="zh-CN"/>
              </w:rPr>
              <w:t>82</w:t>
            </w:r>
          </w:p>
        </w:tc>
        <w:tc>
          <w:tcPr>
            <w:tcW w:w="754" w:type="pct"/>
            <w:noWrap w:val="0"/>
            <w:tcMar>
              <w:top w:w="57" w:type="dxa"/>
              <w:bottom w:w="57" w:type="dxa"/>
            </w:tcMar>
            <w:vAlign w:val="center"/>
          </w:tcPr>
          <w:p>
            <w:pPr>
              <w:widowControl/>
              <w:spacing w:line="240" w:lineRule="auto"/>
              <w:ind w:firstLine="0" w:firstLineChars="0"/>
              <w:jc w:val="center"/>
              <w:rPr>
                <w:rFonts w:hint="default" w:eastAsia="仿宋_GB2312"/>
                <w:kern w:val="0"/>
                <w:sz w:val="21"/>
                <w:szCs w:val="21"/>
                <w:lang w:val="en-US" w:eastAsia="zh-CN"/>
              </w:rPr>
            </w:pPr>
            <w:r>
              <w:rPr>
                <w:rFonts w:hint="eastAsia"/>
                <w:kern w:val="0"/>
                <w:sz w:val="21"/>
                <w:szCs w:val="21"/>
                <w:lang w:val="en-US" w:eastAsia="zh-CN"/>
              </w:rPr>
              <w:t>100</w:t>
            </w:r>
          </w:p>
        </w:tc>
        <w:tc>
          <w:tcPr>
            <w:tcW w:w="1009"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1991"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土壤流失控制比</w:t>
            </w:r>
            <w:r>
              <w:rPr>
                <w:rFonts w:hint="eastAsia"/>
                <w:kern w:val="0"/>
                <w:sz w:val="21"/>
                <w:szCs w:val="21"/>
                <w:lang w:val="en-US" w:eastAsia="zh-CN"/>
              </w:rPr>
              <w:t xml:space="preserve"> </w:t>
            </w:r>
          </w:p>
        </w:tc>
        <w:tc>
          <w:tcPr>
            <w:tcW w:w="2191" w:type="dxa"/>
            <w:noWrap w:val="0"/>
            <w:tcMar>
              <w:top w:w="57" w:type="dxa"/>
              <w:bottom w:w="57" w:type="dxa"/>
            </w:tcMar>
            <w:vAlign w:val="center"/>
          </w:tcPr>
          <w:p>
            <w:pPr>
              <w:widowControl/>
              <w:spacing w:line="240" w:lineRule="auto"/>
              <w:ind w:firstLine="0" w:firstLineChars="0"/>
              <w:jc w:val="center"/>
              <w:rPr>
                <w:rFonts w:hint="eastAsia"/>
                <w:kern w:val="0"/>
                <w:sz w:val="21"/>
                <w:szCs w:val="21"/>
              </w:rPr>
            </w:pPr>
            <w:r>
              <w:rPr>
                <w:rFonts w:hint="eastAsia"/>
                <w:kern w:val="0"/>
                <w:sz w:val="21"/>
                <w:szCs w:val="21"/>
              </w:rPr>
              <w:t>1.0</w:t>
            </w:r>
          </w:p>
        </w:tc>
        <w:tc>
          <w:tcPr>
            <w:tcW w:w="754" w:type="pct"/>
            <w:noWrap w:val="0"/>
            <w:tcMar>
              <w:top w:w="57" w:type="dxa"/>
              <w:bottom w:w="57" w:type="dxa"/>
            </w:tcMar>
            <w:vAlign w:val="center"/>
          </w:tcPr>
          <w:p>
            <w:pPr>
              <w:widowControl/>
              <w:spacing w:line="240" w:lineRule="auto"/>
              <w:ind w:firstLine="0" w:firstLineChars="0"/>
              <w:jc w:val="center"/>
              <w:rPr>
                <w:rFonts w:hint="default" w:eastAsia="仿宋_GB2312"/>
                <w:kern w:val="0"/>
                <w:sz w:val="21"/>
                <w:szCs w:val="21"/>
                <w:lang w:val="en-US" w:eastAsia="zh-CN"/>
              </w:rPr>
            </w:pPr>
            <w:r>
              <w:rPr>
                <w:rFonts w:hint="eastAsia"/>
                <w:kern w:val="0"/>
                <w:sz w:val="21"/>
                <w:szCs w:val="21"/>
                <w:lang w:val="en-US" w:eastAsia="zh-CN"/>
              </w:rPr>
              <w:t>1.0</w:t>
            </w:r>
          </w:p>
        </w:tc>
        <w:tc>
          <w:tcPr>
            <w:tcW w:w="1009"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1991"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拦渣率</w:t>
            </w:r>
            <w:r>
              <w:rPr>
                <w:rFonts w:hint="eastAsia"/>
                <w:kern w:val="0"/>
                <w:sz w:val="21"/>
                <w:szCs w:val="21"/>
                <w:lang w:val="en-US" w:eastAsia="zh-CN"/>
              </w:rPr>
              <w:t xml:space="preserve"> %</w:t>
            </w:r>
          </w:p>
        </w:tc>
        <w:tc>
          <w:tcPr>
            <w:tcW w:w="2191" w:type="dxa"/>
            <w:noWrap w:val="0"/>
            <w:tcMar>
              <w:top w:w="57" w:type="dxa"/>
              <w:bottom w:w="57" w:type="dxa"/>
            </w:tcMar>
            <w:vAlign w:val="center"/>
          </w:tcPr>
          <w:p>
            <w:pPr>
              <w:widowControl/>
              <w:spacing w:line="240" w:lineRule="auto"/>
              <w:ind w:firstLine="0" w:firstLineChars="0"/>
              <w:jc w:val="center"/>
              <w:rPr>
                <w:rFonts w:hint="eastAsia"/>
                <w:kern w:val="0"/>
                <w:sz w:val="21"/>
                <w:szCs w:val="21"/>
              </w:rPr>
            </w:pPr>
            <w:r>
              <w:rPr>
                <w:rFonts w:hint="eastAsia"/>
                <w:kern w:val="0"/>
                <w:sz w:val="21"/>
                <w:szCs w:val="21"/>
                <w:lang w:val="en-US" w:eastAsia="zh-CN"/>
              </w:rPr>
              <w:t>90</w:t>
            </w:r>
          </w:p>
        </w:tc>
        <w:tc>
          <w:tcPr>
            <w:tcW w:w="754" w:type="pct"/>
            <w:noWrap w:val="0"/>
            <w:tcMar>
              <w:top w:w="57" w:type="dxa"/>
              <w:bottom w:w="57" w:type="dxa"/>
            </w:tcMar>
            <w:vAlign w:val="center"/>
          </w:tcPr>
          <w:p>
            <w:pPr>
              <w:widowControl/>
              <w:spacing w:line="240" w:lineRule="auto"/>
              <w:ind w:firstLine="0" w:firstLineChars="0"/>
              <w:jc w:val="center"/>
              <w:rPr>
                <w:rFonts w:hint="default" w:eastAsia="仿宋_GB2312"/>
                <w:kern w:val="0"/>
                <w:sz w:val="21"/>
                <w:szCs w:val="21"/>
                <w:lang w:val="en-US" w:eastAsia="zh-CN"/>
              </w:rPr>
            </w:pPr>
            <w:r>
              <w:rPr>
                <w:rFonts w:hint="eastAsia"/>
                <w:kern w:val="0"/>
                <w:sz w:val="21"/>
                <w:szCs w:val="21"/>
                <w:lang w:val="en-US" w:eastAsia="zh-CN"/>
              </w:rPr>
              <w:t>99</w:t>
            </w:r>
          </w:p>
        </w:tc>
        <w:tc>
          <w:tcPr>
            <w:tcW w:w="1009"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1991"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林草植被恢复率</w:t>
            </w:r>
            <w:r>
              <w:rPr>
                <w:rFonts w:hint="eastAsia"/>
                <w:kern w:val="0"/>
                <w:sz w:val="21"/>
                <w:szCs w:val="21"/>
                <w:lang w:val="en-US" w:eastAsia="zh-CN"/>
              </w:rPr>
              <w:t xml:space="preserve"> %</w:t>
            </w:r>
          </w:p>
        </w:tc>
        <w:tc>
          <w:tcPr>
            <w:tcW w:w="2191" w:type="dxa"/>
            <w:noWrap w:val="0"/>
            <w:tcMar>
              <w:top w:w="57" w:type="dxa"/>
              <w:bottom w:w="57" w:type="dxa"/>
            </w:tcMar>
            <w:vAlign w:val="center"/>
          </w:tcPr>
          <w:p>
            <w:pPr>
              <w:widowControl/>
              <w:spacing w:line="240" w:lineRule="auto"/>
              <w:ind w:firstLine="0" w:firstLineChars="0"/>
              <w:jc w:val="center"/>
              <w:rPr>
                <w:rFonts w:hint="default" w:eastAsia="仿宋_GB2312"/>
                <w:kern w:val="0"/>
                <w:sz w:val="21"/>
                <w:szCs w:val="21"/>
                <w:lang w:val="en-US" w:eastAsia="zh-CN"/>
              </w:rPr>
            </w:pPr>
            <w:r>
              <w:rPr>
                <w:rFonts w:hint="eastAsia"/>
                <w:kern w:val="0"/>
                <w:sz w:val="21"/>
                <w:szCs w:val="21"/>
                <w:lang w:val="en-US" w:eastAsia="zh-CN"/>
              </w:rPr>
              <w:t>92</w:t>
            </w:r>
          </w:p>
        </w:tc>
        <w:tc>
          <w:tcPr>
            <w:tcW w:w="754" w:type="pct"/>
            <w:noWrap w:val="0"/>
            <w:tcMar>
              <w:top w:w="57" w:type="dxa"/>
              <w:bottom w:w="57" w:type="dxa"/>
            </w:tcMar>
            <w:vAlign w:val="center"/>
          </w:tcPr>
          <w:p>
            <w:pPr>
              <w:widowControl/>
              <w:spacing w:line="240" w:lineRule="auto"/>
              <w:ind w:firstLine="0" w:firstLineChars="0"/>
              <w:jc w:val="center"/>
              <w:rPr>
                <w:rFonts w:hint="default" w:eastAsia="仿宋_GB2312"/>
                <w:kern w:val="0"/>
                <w:sz w:val="21"/>
                <w:szCs w:val="21"/>
                <w:lang w:val="en-US" w:eastAsia="zh-CN"/>
              </w:rPr>
            </w:pPr>
            <w:r>
              <w:rPr>
                <w:rFonts w:hint="eastAsia"/>
                <w:kern w:val="0"/>
                <w:sz w:val="21"/>
                <w:szCs w:val="21"/>
                <w:lang w:val="en-US" w:eastAsia="zh-CN"/>
              </w:rPr>
              <w:t>100</w:t>
            </w:r>
          </w:p>
        </w:tc>
        <w:tc>
          <w:tcPr>
            <w:tcW w:w="1009"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1991" w:type="pct"/>
            <w:noWrap w:val="0"/>
            <w:tcMar>
              <w:top w:w="57" w:type="dxa"/>
              <w:bottom w:w="57" w:type="dxa"/>
            </w:tcMar>
            <w:vAlign w:val="center"/>
          </w:tcPr>
          <w:p>
            <w:pPr>
              <w:widowControl/>
              <w:spacing w:line="240" w:lineRule="auto"/>
              <w:ind w:firstLine="0" w:firstLineChars="0"/>
              <w:jc w:val="center"/>
              <w:rPr>
                <w:kern w:val="0"/>
                <w:sz w:val="21"/>
                <w:szCs w:val="21"/>
              </w:rPr>
            </w:pPr>
            <w:r>
              <w:rPr>
                <w:kern w:val="0"/>
                <w:sz w:val="21"/>
                <w:szCs w:val="21"/>
              </w:rPr>
              <w:t>林草覆盖率</w:t>
            </w:r>
            <w:r>
              <w:rPr>
                <w:rFonts w:hint="eastAsia"/>
                <w:kern w:val="0"/>
                <w:sz w:val="21"/>
                <w:szCs w:val="21"/>
                <w:lang w:val="en-US" w:eastAsia="zh-CN"/>
              </w:rPr>
              <w:t xml:space="preserve"> %</w:t>
            </w:r>
          </w:p>
        </w:tc>
        <w:tc>
          <w:tcPr>
            <w:tcW w:w="2191" w:type="dxa"/>
            <w:noWrap w:val="0"/>
            <w:tcMar>
              <w:top w:w="57" w:type="dxa"/>
              <w:bottom w:w="57" w:type="dxa"/>
            </w:tcMar>
            <w:vAlign w:val="center"/>
          </w:tcPr>
          <w:p>
            <w:pPr>
              <w:widowControl/>
              <w:spacing w:line="240" w:lineRule="auto"/>
              <w:ind w:firstLine="0" w:firstLineChars="0"/>
              <w:jc w:val="center"/>
              <w:rPr>
                <w:rFonts w:hint="default" w:eastAsia="仿宋_GB2312"/>
                <w:kern w:val="0"/>
                <w:sz w:val="21"/>
                <w:szCs w:val="21"/>
                <w:lang w:val="en-US" w:eastAsia="zh-CN"/>
              </w:rPr>
            </w:pPr>
            <w:r>
              <w:rPr>
                <w:rFonts w:hint="eastAsia"/>
                <w:kern w:val="0"/>
                <w:sz w:val="21"/>
                <w:szCs w:val="21"/>
                <w:lang w:val="en-US" w:eastAsia="zh-CN"/>
              </w:rPr>
              <w:t>17</w:t>
            </w:r>
          </w:p>
        </w:tc>
        <w:tc>
          <w:tcPr>
            <w:tcW w:w="754" w:type="pct"/>
            <w:noWrap w:val="0"/>
            <w:tcMar>
              <w:top w:w="57" w:type="dxa"/>
              <w:bottom w:w="57" w:type="dxa"/>
            </w:tcMar>
            <w:vAlign w:val="center"/>
          </w:tcPr>
          <w:p>
            <w:pPr>
              <w:widowControl/>
              <w:spacing w:line="240" w:lineRule="auto"/>
              <w:ind w:firstLine="0" w:firstLineChars="0"/>
              <w:jc w:val="center"/>
              <w:rPr>
                <w:rFonts w:hint="default" w:eastAsia="仿宋_GB2312"/>
                <w:kern w:val="0"/>
                <w:sz w:val="21"/>
                <w:szCs w:val="21"/>
                <w:lang w:val="en-US" w:eastAsia="zh-CN"/>
              </w:rPr>
            </w:pPr>
            <w:r>
              <w:rPr>
                <w:rFonts w:hint="eastAsia"/>
                <w:kern w:val="0"/>
                <w:sz w:val="21"/>
                <w:szCs w:val="21"/>
                <w:lang w:val="en-US" w:eastAsia="zh-CN"/>
              </w:rPr>
              <w:t>57</w:t>
            </w:r>
          </w:p>
        </w:tc>
        <w:tc>
          <w:tcPr>
            <w:tcW w:w="1009" w:type="pct"/>
            <w:noWrap w:val="0"/>
            <w:tcMar>
              <w:top w:w="57" w:type="dxa"/>
              <w:bottom w:w="57" w:type="dxa"/>
            </w:tcMar>
            <w:vAlign w:val="center"/>
          </w:tcPr>
          <w:p>
            <w:pPr>
              <w:widowControl/>
              <w:spacing w:line="240" w:lineRule="auto"/>
              <w:ind w:firstLine="0" w:firstLineChars="0"/>
              <w:jc w:val="center"/>
              <w:rPr>
                <w:rFonts w:hint="eastAsia"/>
                <w:kern w:val="0"/>
                <w:sz w:val="21"/>
                <w:szCs w:val="21"/>
              </w:rPr>
            </w:pPr>
            <w:r>
              <w:rPr>
                <w:kern w:val="0"/>
                <w:sz w:val="21"/>
                <w:szCs w:val="21"/>
              </w:rPr>
              <w:t>达标</w:t>
            </w:r>
          </w:p>
        </w:tc>
      </w:tr>
    </w:tbl>
    <w:p>
      <w:pPr>
        <w:ind w:left="0" w:leftChars="0" w:firstLine="0" w:firstLineChars="0"/>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ind w:left="0" w:leftChars="0" w:firstLine="0" w:firstLineChars="0"/>
        <w:jc w:val="center"/>
      </w:pPr>
      <w:bookmarkStart w:id="177" w:name="_Toc28627"/>
      <w:bookmarkStart w:id="178" w:name="_Toc44318504"/>
      <w:bookmarkStart w:id="179" w:name="_Toc17683"/>
      <w:r>
        <w:t>7 结论</w:t>
      </w:r>
      <w:bookmarkEnd w:id="177"/>
      <w:bookmarkEnd w:id="178"/>
      <w:bookmarkEnd w:id="179"/>
    </w:p>
    <w:p>
      <w:pPr>
        <w:pStyle w:val="4"/>
      </w:pPr>
      <w:bookmarkStart w:id="180" w:name="_Toc216518519"/>
      <w:bookmarkStart w:id="181" w:name="_Toc216518812"/>
      <w:bookmarkStart w:id="182" w:name="_Toc298858028"/>
      <w:bookmarkStart w:id="183" w:name="_Toc27856"/>
      <w:bookmarkStart w:id="184" w:name="_Toc24355"/>
      <w:bookmarkStart w:id="185" w:name="_Toc44318505"/>
      <w:bookmarkStart w:id="186" w:name="_Toc247706058"/>
      <w:r>
        <w:t>7.1</w:t>
      </w:r>
      <w:bookmarkEnd w:id="180"/>
      <w:bookmarkEnd w:id="181"/>
      <w:r>
        <w:t xml:space="preserve"> 水土流失动态变化</w:t>
      </w:r>
      <w:bookmarkEnd w:id="182"/>
      <w:bookmarkEnd w:id="183"/>
      <w:bookmarkEnd w:id="184"/>
      <w:bookmarkEnd w:id="185"/>
      <w:bookmarkEnd w:id="186"/>
    </w:p>
    <w:p>
      <w:pPr>
        <w:pStyle w:val="24"/>
      </w:pPr>
      <w:r>
        <w:t>土壤侵蚀背景值通过收集土壤侵蚀主要因子指标，参考土壤侵蚀分类分级表得出；施工期土壤侵蚀模数通过现场调查，结合项目施工工艺确定，参考土壤侵蚀分类分级表得出；运行期土壤侵蚀模数通过现场调查，参考土壤侵蚀分类分级表得出。</w:t>
      </w:r>
    </w:p>
    <w:p>
      <w:pPr>
        <w:pStyle w:val="24"/>
      </w:pPr>
      <w:r>
        <w:t>施工前原地貌土壤流失轻微，建设过程中场地平整开挖、地表裸露，植被覆盖度降为零，土壤流失量剧增；工程建设中，随着基坑回填、硬化，项目区水土流失面积减少，水土流失量减少；项目建成后，人为扰动停止，各项土保持措施逐步发挥效益，土壤流失量降低，降至允许的土壤侵蚀背景值。</w:t>
      </w:r>
    </w:p>
    <w:p>
      <w:pPr>
        <w:spacing w:line="360" w:lineRule="auto"/>
        <w:ind w:firstLine="480" w:firstLineChars="200"/>
        <w:rPr>
          <w:rFonts w:ascii="Times New Roman" w:hAnsi="Times New Roman" w:eastAsia="仿宋_GB2312"/>
          <w:color w:val="000000"/>
          <w:sz w:val="24"/>
          <w:szCs w:val="24"/>
        </w:rPr>
      </w:pPr>
      <w:r>
        <w:rPr>
          <w:rFonts w:ascii="Times New Roman" w:hAnsi="Times New Roman" w:eastAsia="仿宋_GB2312"/>
          <w:color w:val="000000"/>
          <w:sz w:val="24"/>
          <w:szCs w:val="24"/>
        </w:rPr>
        <w:t>水土流失动态变化说明项目建设过程中，人为扰动将各项土壤侵蚀因子叠加，在降雨、重力等外营力作用下，土壤流失量将剧增。同时，在采取各项水土保持措施后，土壤流失量可控制在允许的范围内。</w:t>
      </w:r>
    </w:p>
    <w:p>
      <w:pPr>
        <w:pStyle w:val="24"/>
      </w:pPr>
      <w:r>
        <w:t>本项目水土流失动态变化同时也印证了人为扰动是开发建设项目的主要水土流失因素，采取防治措施是控制水土流失的必要手段。</w:t>
      </w:r>
    </w:p>
    <w:p>
      <w:pPr>
        <w:pStyle w:val="4"/>
      </w:pPr>
      <w:bookmarkStart w:id="187" w:name="_Toc247706059"/>
      <w:bookmarkStart w:id="188" w:name="_Toc298858029"/>
      <w:bookmarkStart w:id="189" w:name="_Toc25277"/>
      <w:bookmarkStart w:id="190" w:name="_Toc44318506"/>
      <w:bookmarkStart w:id="191" w:name="_Toc24839"/>
      <w:r>
        <w:t>7.2水土保持措施评价</w:t>
      </w:r>
      <w:bookmarkEnd w:id="187"/>
      <w:bookmarkEnd w:id="188"/>
      <w:bookmarkEnd w:id="189"/>
      <w:bookmarkEnd w:id="190"/>
      <w:bookmarkEnd w:id="191"/>
    </w:p>
    <w:p>
      <w:pPr>
        <w:pStyle w:val="24"/>
      </w:pPr>
      <w:r>
        <w:t>工程中实施的各项工程措施均能很好的发挥作用，对控制工程水土流失起到较大作用。</w:t>
      </w:r>
      <w:r>
        <w:rPr>
          <w:rFonts w:hint="eastAsia"/>
          <w:lang w:eastAsia="zh-CN"/>
        </w:rPr>
        <w:t>主体</w:t>
      </w:r>
      <w:r>
        <w:t>工程区在施工过程中，在永久排水沟施工前，布置基坑临时排水沟</w:t>
      </w:r>
      <w:r>
        <w:rPr>
          <w:rFonts w:hint="eastAsia"/>
          <w:lang w:eastAsia="zh-CN"/>
        </w:rPr>
        <w:t>、</w:t>
      </w:r>
      <w:r>
        <w:t>集水井</w:t>
      </w:r>
      <w:r>
        <w:rPr>
          <w:rFonts w:hint="eastAsia"/>
          <w:lang w:eastAsia="zh-CN"/>
        </w:rPr>
        <w:t>、</w:t>
      </w:r>
      <w:r>
        <w:t>沉沙池以及洗车池，雨季采取彩条布覆盖对</w:t>
      </w:r>
      <w:r>
        <w:rPr>
          <w:rFonts w:hint="eastAsia"/>
          <w:lang w:eastAsia="zh-CN"/>
        </w:rPr>
        <w:t>裸露</w:t>
      </w:r>
      <w:r>
        <w:t>场地进行防护，工程施工后期，</w:t>
      </w:r>
      <w:r>
        <w:rPr>
          <w:rFonts w:hint="eastAsia"/>
          <w:lang w:eastAsia="zh-CN"/>
        </w:rPr>
        <w:t>在</w:t>
      </w:r>
      <w:r>
        <w:t>出入口出均设置了排水沟，防止</w:t>
      </w:r>
      <w:r>
        <w:rPr>
          <w:rFonts w:hint="eastAsia"/>
          <w:lang w:val="en-US" w:eastAsia="zh-CN"/>
        </w:rPr>
        <w:t>场内水土流失</w:t>
      </w:r>
      <w:r>
        <w:t>。在主体建筑物四周实施绿化工程</w:t>
      </w:r>
      <w:r>
        <w:rPr>
          <w:rFonts w:hint="eastAsia"/>
          <w:lang w:eastAsia="zh-CN"/>
        </w:rPr>
        <w:t>，</w:t>
      </w:r>
      <w:r>
        <w:t>绿化措施主要包括种植灌木、种植乔木、撒播草籽等。</w:t>
      </w:r>
    </w:p>
    <w:p>
      <w:pPr>
        <w:pStyle w:val="24"/>
      </w:pPr>
      <w:r>
        <w:t>项目区水土保持措施布局合理，防治措施体系完善，各项设施保存完好，水土保持措施基本实施到位，地表植被恢复情况良好，各项措施水土保持效益发挥得当，扰动地表经治理后防治水土流失的功能基本得以恢复。</w:t>
      </w:r>
    </w:p>
    <w:p>
      <w:pPr>
        <w:pStyle w:val="4"/>
      </w:pPr>
      <w:bookmarkStart w:id="192" w:name="_Toc44318507"/>
      <w:bookmarkStart w:id="193" w:name="_Toc10356"/>
      <w:bookmarkStart w:id="194" w:name="_Toc298858030"/>
      <w:bookmarkStart w:id="195" w:name="_Toc11092"/>
      <w:bookmarkStart w:id="196" w:name="_Toc247706060"/>
      <w:r>
        <w:t>7.3 存在问题及整改建议</w:t>
      </w:r>
      <w:bookmarkEnd w:id="192"/>
      <w:bookmarkEnd w:id="193"/>
      <w:bookmarkEnd w:id="194"/>
      <w:bookmarkEnd w:id="195"/>
      <w:bookmarkEnd w:id="196"/>
    </w:p>
    <w:p>
      <w:pPr>
        <w:pStyle w:val="24"/>
      </w:pPr>
      <w:r>
        <w:t>通过对项目区的全面调查监测，本工程水土保持方案设计的各项水土保持措施基本得到落实，运营管理单位应加强水土保持设施的管理，确保水土保持设施正常运行并发挥效益。</w:t>
      </w:r>
    </w:p>
    <w:p>
      <w:pPr>
        <w:pStyle w:val="4"/>
      </w:pPr>
      <w:bookmarkStart w:id="197" w:name="_Toc23538"/>
      <w:bookmarkStart w:id="198" w:name="_Toc44318508"/>
      <w:bookmarkStart w:id="199" w:name="_Toc298858031"/>
      <w:bookmarkStart w:id="200" w:name="_Toc22084"/>
      <w:r>
        <w:t>7.4 综合结论</w:t>
      </w:r>
      <w:bookmarkEnd w:id="197"/>
      <w:bookmarkEnd w:id="198"/>
      <w:bookmarkEnd w:id="199"/>
      <w:bookmarkEnd w:id="200"/>
    </w:p>
    <w:p>
      <w:pPr>
        <w:pStyle w:val="24"/>
        <w:rPr>
          <w:rFonts w:hint="eastAsia"/>
          <w:lang w:val="en-US"/>
        </w:rPr>
      </w:pPr>
      <w:r>
        <w:rPr>
          <w:rFonts w:hint="eastAsia"/>
          <w:lang w:val="en-US"/>
        </w:rPr>
        <w:t>监测结果表明，</w:t>
      </w:r>
      <w:r>
        <w:rPr>
          <w:rFonts w:hint="eastAsia"/>
          <w:lang w:val="en-US" w:eastAsia="zh-CN"/>
        </w:rPr>
        <w:t>东海岛15万m³/d 自来水厂工程</w:t>
      </w:r>
      <w:r>
        <w:rPr>
          <w:rFonts w:hint="eastAsia"/>
          <w:lang w:val="en-US"/>
        </w:rPr>
        <w:t>水土保持方案的设计基本上合理。在工程施工过程中，建设单位基本能按照批复的水土保持方案和有关法律法规要求开展了水土流失防治工作，有效控制了工程建设期间的水土流失。在施工过程中，多数分项工程能及时跟进水土保持措施，取得了较好的防护效果。主体工程土建施工时注意分层开挖，分层堆放，其他植物措施也及时跟进，收到了水土保持效果。</w:t>
      </w:r>
    </w:p>
    <w:p>
      <w:pPr>
        <w:pStyle w:val="24"/>
        <w:rPr>
          <w:rFonts w:hint="eastAsia"/>
          <w:lang w:eastAsia="zh-CN"/>
        </w:rPr>
      </w:pPr>
      <w:r>
        <w:rPr>
          <w:rFonts w:hint="eastAsia"/>
          <w:lang w:val="en-US"/>
        </w:rPr>
        <w:t>截至到</w:t>
      </w:r>
      <w:r>
        <w:rPr>
          <w:rFonts w:hint="eastAsia"/>
          <w:lang w:val="en-US" w:eastAsia="zh-CN"/>
        </w:rPr>
        <w:t>2020</w:t>
      </w:r>
      <w:r>
        <w:rPr>
          <w:rFonts w:hint="eastAsia"/>
          <w:lang w:val="en-US"/>
        </w:rPr>
        <w:t>年</w:t>
      </w:r>
      <w:r>
        <w:rPr>
          <w:rFonts w:hint="eastAsia"/>
          <w:lang w:val="en-US" w:eastAsia="zh-CN"/>
        </w:rPr>
        <w:t>12</w:t>
      </w:r>
      <w:r>
        <w:rPr>
          <w:rFonts w:hint="eastAsia"/>
          <w:lang w:val="en-US"/>
        </w:rPr>
        <w:t>月底，随着工程沿线各项水保措施已完全发挥防护作用，植被覆盖率逐步增高，取得了较好的水土保持防护效果。通过巡视及走访沿线群众，未发生土方（泥浆）侵占道路、掩埋农田、淤塞河道等水土流失危害。本项目</w:t>
      </w:r>
      <w:r>
        <w:rPr>
          <w:lang w:val="en-US"/>
        </w:rPr>
        <w:t>扰动土地整治率为</w:t>
      </w:r>
      <w:r>
        <w:rPr>
          <w:rFonts w:hint="eastAsia"/>
          <w:lang w:val="en-US" w:eastAsia="zh-CN"/>
        </w:rPr>
        <w:t>99.7</w:t>
      </w:r>
      <w:r>
        <w:rPr>
          <w:rFonts w:hint="eastAsia"/>
          <w:lang w:val="en-US"/>
        </w:rPr>
        <w:t>%，水土流失总治理度100%，土壤流失控制比1.0，拦渣率</w:t>
      </w:r>
      <w:r>
        <w:rPr>
          <w:rFonts w:hint="eastAsia"/>
          <w:lang w:val="en-US" w:eastAsia="zh-CN"/>
        </w:rPr>
        <w:t>99</w:t>
      </w:r>
      <w:r>
        <w:rPr>
          <w:rFonts w:hint="eastAsia"/>
          <w:lang w:val="en-US"/>
        </w:rPr>
        <w:t>%以上，林草植被恢复率</w:t>
      </w:r>
      <w:r>
        <w:rPr>
          <w:rFonts w:hint="eastAsia"/>
          <w:lang w:val="en-US" w:eastAsia="zh-CN"/>
        </w:rPr>
        <w:t>100</w:t>
      </w:r>
      <w:r>
        <w:rPr>
          <w:rFonts w:hint="eastAsia"/>
          <w:lang w:val="en-US"/>
        </w:rPr>
        <w:t>%，林草覆盖率</w:t>
      </w:r>
      <w:r>
        <w:rPr>
          <w:rFonts w:hint="eastAsia"/>
          <w:lang w:val="en-US" w:eastAsia="zh-CN"/>
        </w:rPr>
        <w:t>57%</w:t>
      </w:r>
      <w:r>
        <w:rPr>
          <w:lang w:val="en-US"/>
        </w:rPr>
        <w:t>。</w:t>
      </w:r>
      <w:r>
        <w:rPr>
          <w:rFonts w:hint="eastAsia"/>
          <w:lang w:val="en-US" w:eastAsia="zh-CN"/>
        </w:rPr>
        <w:t>六项防治指标均达到了水土保持方案设定的目标值。</w:t>
      </w:r>
    </w:p>
    <w:p>
      <w:pPr>
        <w:pStyle w:val="24"/>
        <w:rPr>
          <w:rFonts w:hint="eastAsia"/>
          <w:lang w:val="en-US" w:eastAsia="zh-CN"/>
        </w:rPr>
      </w:pPr>
      <w:r>
        <w:t>总体而言，建设单位基本落实了批复水土保持方案的各项水土保持要求，水土保持各项措施体系布局合理，有效地控制了因工程建设引起的水土流失，扰动土地整治率、水土流失治理度、拦渣率、土壤流失控制比、林草植被恢复率、林草覆盖率均达到方案批复目标值。</w:t>
      </w:r>
    </w:p>
    <w:p>
      <w:pPr>
        <w:pStyle w:val="9"/>
        <w:rPr>
          <w:rFonts w:hint="eastAsia"/>
          <w:lang w:val="en-US" w:eastAsia="zh-CN"/>
        </w:rPr>
      </w:pPr>
    </w:p>
    <w:p>
      <w:pPr>
        <w:rPr>
          <w:rFonts w:hint="eastAsia"/>
          <w:lang w:val="en-US" w:eastAsia="zh-CN"/>
        </w:rPr>
      </w:pPr>
    </w:p>
    <w:p>
      <w:pPr>
        <w:pStyle w:val="3"/>
        <w:keepNext w:val="0"/>
        <w:keepLines w:val="0"/>
        <w:pageBreakBefore/>
        <w:spacing w:before="0" w:after="120" w:line="240" w:lineRule="auto"/>
        <w:rPr>
          <w:rFonts w:hint="default" w:ascii="Times New Roman" w:hAnsi="Times New Roman" w:eastAsia="黑体" w:cs="Times New Roman"/>
          <w:b w:val="0"/>
          <w:color w:val="000000"/>
        </w:rPr>
      </w:pPr>
      <w:bookmarkStart w:id="201" w:name="_Toc9278"/>
      <w:bookmarkStart w:id="202" w:name="_Toc23866"/>
      <w:bookmarkStart w:id="203" w:name="_Toc7150"/>
      <w:r>
        <w:rPr>
          <w:rFonts w:hint="default" w:ascii="Times New Roman" w:hAnsi="Times New Roman" w:eastAsia="黑体" w:cs="Times New Roman"/>
          <w:b w:val="0"/>
          <w:color w:val="000000"/>
        </w:rPr>
        <w:t>附件</w:t>
      </w:r>
      <w:r>
        <w:rPr>
          <w:rFonts w:hint="eastAsia" w:eastAsia="黑体" w:cs="Times New Roman"/>
          <w:b w:val="0"/>
          <w:color w:val="000000"/>
          <w:lang w:val="en-US" w:eastAsia="zh-CN"/>
        </w:rPr>
        <w:t>1</w:t>
      </w:r>
      <w:r>
        <w:rPr>
          <w:rFonts w:hint="default" w:ascii="Times New Roman" w:hAnsi="Times New Roman" w:eastAsia="黑体" w:cs="Times New Roman"/>
          <w:b w:val="0"/>
          <w:color w:val="000000"/>
          <w:lang w:eastAsia="zh-CN"/>
        </w:rPr>
        <w:t xml:space="preserve"> 水土保持</w:t>
      </w:r>
      <w:r>
        <w:rPr>
          <w:rFonts w:hint="default" w:ascii="Times New Roman" w:hAnsi="Times New Roman" w:eastAsia="黑体" w:cs="Times New Roman"/>
          <w:b w:val="0"/>
          <w:color w:val="000000"/>
        </w:rPr>
        <w:t>方案批复</w:t>
      </w:r>
      <w:bookmarkEnd w:id="201"/>
      <w:bookmarkEnd w:id="202"/>
      <w:bookmarkEnd w:id="203"/>
    </w:p>
    <w:p>
      <w:pPr>
        <w:rPr>
          <w:rFonts w:hint="eastAsia" w:eastAsia="黑体"/>
          <w:lang w:eastAsia="zh-CN"/>
        </w:rPr>
      </w:pPr>
    </w:p>
    <w:p>
      <w:pPr>
        <w:pStyle w:val="9"/>
        <w:rPr>
          <w:rFonts w:hint="eastAsia" w:eastAsia="黑体"/>
          <w:lang w:eastAsia="zh-CN"/>
        </w:rPr>
      </w:pPr>
      <w:r>
        <w:rPr>
          <w:rFonts w:hint="eastAsia" w:eastAsia="仿宋_GB2312"/>
          <w:bCs/>
          <w:color w:val="FF0000"/>
          <w:szCs w:val="32"/>
          <w:lang w:eastAsia="zh-CN"/>
        </w:rPr>
        <w:drawing>
          <wp:anchor distT="0" distB="0" distL="114300" distR="114300" simplePos="0" relativeHeight="251674624" behindDoc="0" locked="0" layoutInCell="1" allowOverlap="1">
            <wp:simplePos x="0" y="0"/>
            <wp:positionH relativeFrom="column">
              <wp:posOffset>-213995</wp:posOffset>
            </wp:positionH>
            <wp:positionV relativeFrom="paragraph">
              <wp:posOffset>-166370</wp:posOffset>
            </wp:positionV>
            <wp:extent cx="5757545" cy="8138795"/>
            <wp:effectExtent l="0" t="0" r="14605" b="14605"/>
            <wp:wrapNone/>
            <wp:docPr id="14" name="图片 14" descr="15万立方米自来水厂水保批复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5万立方米自来水厂水保批复_00"/>
                    <pic:cNvPicPr>
                      <a:picLocks noChangeAspect="1"/>
                    </pic:cNvPicPr>
                  </pic:nvPicPr>
                  <pic:blipFill>
                    <a:blip r:embed="rId38"/>
                    <a:stretch>
                      <a:fillRect/>
                    </a:stretch>
                  </pic:blipFill>
                  <pic:spPr>
                    <a:xfrm>
                      <a:off x="0" y="0"/>
                      <a:ext cx="5757545" cy="8138795"/>
                    </a:xfrm>
                    <a:prstGeom prst="rect">
                      <a:avLst/>
                    </a:prstGeom>
                  </pic:spPr>
                </pic:pic>
              </a:graphicData>
            </a:graphic>
          </wp:anchor>
        </w:drawing>
      </w:r>
    </w:p>
    <w:p>
      <w:pPr>
        <w:pStyle w:val="9"/>
        <w:rPr>
          <w:rFonts w:hint="eastAsia" w:eastAsia="黑体"/>
          <w:lang w:eastAsia="zh-CN"/>
        </w:rPr>
      </w:pPr>
    </w:p>
    <w:p>
      <w:pPr>
        <w:pStyle w:val="9"/>
        <w:ind w:left="0" w:leftChars="0" w:firstLine="0" w:firstLineChars="0"/>
        <w:jc w:val="center"/>
        <w:rPr>
          <w:rFonts w:hint="eastAsia" w:eastAsia="黑体"/>
          <w:lang w:eastAsia="zh-CN"/>
        </w:rPr>
      </w:pPr>
    </w:p>
    <w:p>
      <w:pPr>
        <w:rPr>
          <w:rFonts w:hint="eastAsia" w:eastAsia="黑体"/>
          <w:lang w:eastAsia="zh-CN"/>
        </w:rPr>
      </w:pPr>
      <w:r>
        <w:rPr>
          <w:rFonts w:hint="eastAsia" w:eastAsia="黑体"/>
          <w:lang w:eastAsia="zh-CN"/>
        </w:rPr>
        <w:br w:type="page"/>
      </w:r>
    </w:p>
    <w:p>
      <w:pPr>
        <w:ind w:left="0" w:leftChars="0" w:firstLine="0" w:firstLineChars="0"/>
        <w:rPr>
          <w:rFonts w:hint="eastAsia" w:eastAsia="黑体"/>
          <w:lang w:eastAsia="zh-CN"/>
        </w:rPr>
      </w:pPr>
      <w:r>
        <w:rPr>
          <w:rFonts w:hint="eastAsia" w:eastAsia="仿宋_GB2312"/>
          <w:bCs/>
          <w:color w:val="FF0000"/>
          <w:szCs w:val="32"/>
          <w:lang w:eastAsia="zh-CN"/>
        </w:rPr>
        <w:drawing>
          <wp:inline distT="0" distB="0" distL="114300" distR="114300">
            <wp:extent cx="5757545" cy="8138795"/>
            <wp:effectExtent l="0" t="0" r="14605" b="14605"/>
            <wp:docPr id="8" name="图片 8" descr="15万立方米自来水厂水保批复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5万立方米自来水厂水保批复_01"/>
                    <pic:cNvPicPr>
                      <a:picLocks noChangeAspect="1"/>
                    </pic:cNvPicPr>
                  </pic:nvPicPr>
                  <pic:blipFill>
                    <a:blip r:embed="rId39"/>
                    <a:stretch>
                      <a:fillRect/>
                    </a:stretch>
                  </pic:blipFill>
                  <pic:spPr>
                    <a:xfrm>
                      <a:off x="0" y="0"/>
                      <a:ext cx="5757545" cy="8138795"/>
                    </a:xfrm>
                    <a:prstGeom prst="rect">
                      <a:avLst/>
                    </a:prstGeom>
                  </pic:spPr>
                </pic:pic>
              </a:graphicData>
            </a:graphic>
          </wp:inline>
        </w:drawing>
      </w:r>
    </w:p>
    <w:p>
      <w:pPr>
        <w:pStyle w:val="9"/>
        <w:ind w:left="0" w:leftChars="0" w:firstLine="0" w:firstLineChars="0"/>
        <w:jc w:val="center"/>
        <w:rPr>
          <w:rFonts w:hint="eastAsia" w:eastAsia="黑体"/>
          <w:lang w:eastAsia="zh-CN"/>
        </w:rPr>
      </w:pPr>
    </w:p>
    <w:p>
      <w:pPr>
        <w:ind w:left="0" w:leftChars="0" w:firstLine="0" w:firstLineChars="0"/>
        <w:jc w:val="center"/>
        <w:rPr>
          <w:rFonts w:hint="eastAsia"/>
          <w:lang w:val="en-US" w:eastAsia="zh-CN"/>
        </w:rPr>
      </w:pPr>
      <w:r>
        <w:rPr>
          <w:rFonts w:hint="eastAsia"/>
          <w:lang w:val="en-US" w:eastAsia="zh-CN"/>
        </w:rPr>
        <w:br w:type="page"/>
      </w:r>
    </w:p>
    <w:p>
      <w:pPr>
        <w:pStyle w:val="3"/>
        <w:pageBreakBefore/>
        <w:spacing w:before="0" w:after="0" w:line="240" w:lineRule="auto"/>
        <w:rPr>
          <w:rFonts w:hint="eastAsia" w:eastAsia="仿宋_GB2312"/>
          <w:bCs/>
          <w:color w:val="FF0000"/>
          <w:szCs w:val="32"/>
          <w:lang w:eastAsia="zh-CN"/>
        </w:rPr>
      </w:pPr>
      <w:bookmarkStart w:id="204" w:name="_Toc4201"/>
      <w:bookmarkStart w:id="205" w:name="_Toc6892"/>
      <w:bookmarkStart w:id="206" w:name="_Toc19184"/>
      <w:r>
        <w:rPr>
          <w:rFonts w:hint="eastAsia" w:eastAsia="仿宋_GB2312"/>
          <w:bCs/>
          <w:color w:val="FF0000"/>
          <w:szCs w:val="32"/>
          <w:lang w:eastAsia="zh-CN"/>
        </w:rPr>
        <w:drawing>
          <wp:inline distT="0" distB="0" distL="114300" distR="114300">
            <wp:extent cx="5757545" cy="8138795"/>
            <wp:effectExtent l="0" t="0" r="14605" b="14605"/>
            <wp:docPr id="7" name="图片 7" descr="C:/Users/Administrator/AppData/Local/Temp/picturecompress_20210811152925/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AppData/Local/Temp/picturecompress_20210811152925/output_1.pngoutput_1"/>
                    <pic:cNvPicPr>
                      <a:picLocks noChangeAspect="1"/>
                    </pic:cNvPicPr>
                  </pic:nvPicPr>
                  <pic:blipFill>
                    <a:blip r:embed="rId40"/>
                    <a:stretch>
                      <a:fillRect/>
                    </a:stretch>
                  </pic:blipFill>
                  <pic:spPr>
                    <a:xfrm>
                      <a:off x="0" y="0"/>
                      <a:ext cx="5757545" cy="8138795"/>
                    </a:xfrm>
                    <a:prstGeom prst="rect">
                      <a:avLst/>
                    </a:prstGeom>
                  </pic:spPr>
                </pic:pic>
              </a:graphicData>
            </a:graphic>
          </wp:inline>
        </w:drawing>
      </w:r>
    </w:p>
    <w:p>
      <w:pPr>
        <w:pStyle w:val="3"/>
        <w:pageBreakBefore/>
        <w:spacing w:before="0" w:after="0" w:line="240" w:lineRule="auto"/>
        <w:rPr>
          <w:rFonts w:hint="eastAsia" w:eastAsia="仿宋_GB2312"/>
          <w:bCs/>
          <w:color w:val="FF0000"/>
          <w:szCs w:val="32"/>
          <w:lang w:eastAsia="zh-CN"/>
        </w:rPr>
      </w:pPr>
      <w:r>
        <w:rPr>
          <w:rFonts w:hint="eastAsia" w:eastAsia="仿宋_GB2312"/>
          <w:bCs/>
          <w:color w:val="FF0000"/>
          <w:szCs w:val="32"/>
          <w:lang w:eastAsia="zh-CN"/>
        </w:rPr>
        <w:drawing>
          <wp:inline distT="0" distB="0" distL="114300" distR="114300">
            <wp:extent cx="5757545" cy="8138795"/>
            <wp:effectExtent l="0" t="0" r="14605" b="14605"/>
            <wp:docPr id="2" name="图片 2" descr="15万立方米自来水厂水保批复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万立方米自来水厂水保批复_03"/>
                    <pic:cNvPicPr>
                      <a:picLocks noChangeAspect="1"/>
                    </pic:cNvPicPr>
                  </pic:nvPicPr>
                  <pic:blipFill>
                    <a:blip r:embed="rId41"/>
                    <a:stretch>
                      <a:fillRect/>
                    </a:stretch>
                  </pic:blipFill>
                  <pic:spPr>
                    <a:xfrm>
                      <a:off x="0" y="0"/>
                      <a:ext cx="5757545" cy="8138795"/>
                    </a:xfrm>
                    <a:prstGeom prst="rect">
                      <a:avLst/>
                    </a:prstGeom>
                  </pic:spPr>
                </pic:pic>
              </a:graphicData>
            </a:graphic>
          </wp:inline>
        </w:drawing>
      </w:r>
    </w:p>
    <w:p>
      <w:pPr>
        <w:pStyle w:val="3"/>
        <w:pageBreakBefore/>
        <w:spacing w:before="0" w:after="0" w:line="240" w:lineRule="auto"/>
        <w:rPr>
          <w:rFonts w:hint="default" w:ascii="Times New Roman" w:hAnsi="Times New Roman" w:eastAsia="黑体" w:cs="Times New Roman"/>
          <w:b w:val="0"/>
          <w:color w:val="000000"/>
          <w:lang w:val="en-US" w:eastAsia="zh-CN"/>
        </w:rPr>
      </w:pPr>
      <w:r>
        <w:rPr>
          <w:rFonts w:hint="default" w:ascii="Times New Roman" w:hAnsi="Times New Roman" w:eastAsia="黑体" w:cs="Times New Roman"/>
          <w:b w:val="0"/>
          <w:color w:val="000000"/>
        </w:rPr>
        <w:t>附件</w:t>
      </w:r>
      <w:r>
        <w:rPr>
          <w:rFonts w:hint="eastAsia" w:eastAsia="黑体" w:cs="Times New Roman"/>
          <w:b w:val="0"/>
          <w:color w:val="000000"/>
          <w:lang w:val="en-US" w:eastAsia="zh-CN"/>
        </w:rPr>
        <w:t>2</w:t>
      </w:r>
      <w:r>
        <w:rPr>
          <w:rFonts w:hint="default" w:ascii="Times New Roman" w:hAnsi="Times New Roman" w:eastAsia="黑体" w:cs="Times New Roman"/>
          <w:b w:val="0"/>
          <w:color w:val="000000"/>
          <w:lang w:eastAsia="zh-CN"/>
        </w:rPr>
        <w:t xml:space="preserve"> </w:t>
      </w:r>
      <w:bookmarkEnd w:id="204"/>
      <w:bookmarkEnd w:id="205"/>
      <w:r>
        <w:rPr>
          <w:rFonts w:hint="eastAsia" w:eastAsia="黑体" w:cs="Times New Roman"/>
          <w:b w:val="0"/>
          <w:color w:val="000000"/>
          <w:lang w:val="en-US" w:eastAsia="zh-CN"/>
        </w:rPr>
        <w:t>运行期水土保持监测情况</w:t>
      </w:r>
      <w:bookmarkEnd w:id="206"/>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184"/>
        <w:gridCol w:w="923"/>
        <w:gridCol w:w="1116"/>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jc w:val="center"/>
        </w:trPr>
        <w:tc>
          <w:tcPr>
            <w:tcW w:w="3117" w:type="pct"/>
            <w:noWrap w:val="0"/>
            <w:vAlign w:val="center"/>
          </w:tcPr>
          <w:p>
            <w:pPr>
              <w:widowControl/>
              <w:spacing w:line="240" w:lineRule="auto"/>
              <w:ind w:firstLine="0" w:firstLineChars="0"/>
              <w:jc w:val="center"/>
              <w:rPr>
                <w:sz w:val="21"/>
                <w:szCs w:val="21"/>
              </w:rPr>
            </w:pPr>
            <w:r>
              <w:rPr>
                <w:rFonts w:hint="eastAsia"/>
                <w:sz w:val="21"/>
                <w:szCs w:val="21"/>
              </w:rPr>
              <w:t>现场照片</w:t>
            </w:r>
          </w:p>
        </w:tc>
        <w:tc>
          <w:tcPr>
            <w:tcW w:w="555" w:type="pct"/>
            <w:noWrap w:val="0"/>
            <w:vAlign w:val="center"/>
          </w:tcPr>
          <w:p>
            <w:pPr>
              <w:widowControl/>
              <w:spacing w:line="240" w:lineRule="auto"/>
              <w:ind w:firstLine="0" w:firstLineChars="0"/>
              <w:jc w:val="center"/>
              <w:rPr>
                <w:sz w:val="21"/>
                <w:szCs w:val="21"/>
              </w:rPr>
            </w:pPr>
            <w:r>
              <w:rPr>
                <w:rFonts w:hint="eastAsia"/>
                <w:sz w:val="21"/>
                <w:szCs w:val="21"/>
              </w:rPr>
              <w:t>位置</w:t>
            </w:r>
          </w:p>
        </w:tc>
        <w:tc>
          <w:tcPr>
            <w:tcW w:w="671" w:type="pct"/>
            <w:noWrap w:val="0"/>
            <w:vAlign w:val="center"/>
          </w:tcPr>
          <w:p>
            <w:pPr>
              <w:widowControl/>
              <w:spacing w:line="240" w:lineRule="auto"/>
              <w:ind w:firstLine="0" w:firstLineChars="0"/>
              <w:jc w:val="center"/>
              <w:rPr>
                <w:sz w:val="21"/>
                <w:szCs w:val="21"/>
              </w:rPr>
            </w:pPr>
            <w:r>
              <w:rPr>
                <w:rFonts w:hint="eastAsia"/>
                <w:sz w:val="21"/>
                <w:szCs w:val="21"/>
              </w:rPr>
              <w:t>调查</w:t>
            </w:r>
          </w:p>
          <w:p>
            <w:pPr>
              <w:widowControl/>
              <w:spacing w:line="240" w:lineRule="auto"/>
              <w:ind w:firstLine="0" w:firstLineChars="0"/>
              <w:jc w:val="center"/>
              <w:rPr>
                <w:sz w:val="21"/>
                <w:szCs w:val="21"/>
              </w:rPr>
            </w:pPr>
            <w:r>
              <w:rPr>
                <w:rFonts w:hint="eastAsia"/>
                <w:sz w:val="21"/>
                <w:szCs w:val="21"/>
              </w:rPr>
              <w:t>时间</w:t>
            </w:r>
          </w:p>
        </w:tc>
        <w:tc>
          <w:tcPr>
            <w:tcW w:w="655" w:type="pct"/>
            <w:noWrap w:val="0"/>
            <w:vAlign w:val="center"/>
          </w:tcPr>
          <w:p>
            <w:pPr>
              <w:widowControl/>
              <w:spacing w:line="240" w:lineRule="auto"/>
              <w:ind w:firstLine="0" w:firstLineChars="0"/>
              <w:jc w:val="center"/>
              <w:rPr>
                <w:rFonts w:hint="default" w:eastAsia="仿宋_GB2312"/>
                <w:sz w:val="21"/>
                <w:szCs w:val="21"/>
                <w:lang w:val="en-US" w:eastAsia="zh-CN"/>
              </w:rPr>
            </w:pPr>
            <w:r>
              <w:rPr>
                <w:rFonts w:hint="eastAsia"/>
                <w:sz w:val="21"/>
                <w:szCs w:val="21"/>
                <w:lang w:val="en-US" w:eastAsia="zh-CN"/>
              </w:rPr>
              <w:t>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0" w:hRule="atLeast"/>
          <w:jc w:val="center"/>
        </w:trPr>
        <w:tc>
          <w:tcPr>
            <w:tcW w:w="3117" w:type="pct"/>
            <w:noWrap w:val="0"/>
            <w:vAlign w:val="center"/>
          </w:tcPr>
          <w:p>
            <w:pPr>
              <w:widowControl/>
              <w:spacing w:line="240" w:lineRule="auto"/>
              <w:ind w:firstLine="0" w:firstLineChars="0"/>
              <w:jc w:val="center"/>
              <w:rPr>
                <w:rFonts w:hint="eastAsia"/>
                <w:lang w:eastAsia="zh-CN"/>
              </w:rPr>
            </w:pPr>
            <w:r>
              <w:drawing>
                <wp:inline distT="0" distB="0" distL="114300" distR="114300">
                  <wp:extent cx="2362835" cy="2019300"/>
                  <wp:effectExtent l="0" t="0" r="18415"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42"/>
                          <a:stretch>
                            <a:fillRect/>
                          </a:stretch>
                        </pic:blipFill>
                        <pic:spPr>
                          <a:xfrm>
                            <a:off x="0" y="0"/>
                            <a:ext cx="2362835" cy="2019300"/>
                          </a:xfrm>
                          <a:prstGeom prst="rect">
                            <a:avLst/>
                          </a:prstGeom>
                          <a:noFill/>
                          <a:ln>
                            <a:noFill/>
                          </a:ln>
                        </pic:spPr>
                      </pic:pic>
                    </a:graphicData>
                  </a:graphic>
                </wp:inline>
              </w:drawing>
            </w:r>
            <w:r>
              <w:drawing>
                <wp:inline distT="0" distB="0" distL="114300" distR="114300">
                  <wp:extent cx="2313940" cy="1873885"/>
                  <wp:effectExtent l="0" t="0" r="10160" b="1206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3"/>
                          <a:stretch>
                            <a:fillRect/>
                          </a:stretch>
                        </pic:blipFill>
                        <pic:spPr>
                          <a:xfrm>
                            <a:off x="0" y="0"/>
                            <a:ext cx="2313940" cy="1873885"/>
                          </a:xfrm>
                          <a:prstGeom prst="rect">
                            <a:avLst/>
                          </a:prstGeom>
                          <a:noFill/>
                          <a:ln>
                            <a:noFill/>
                          </a:ln>
                        </pic:spPr>
                      </pic:pic>
                    </a:graphicData>
                  </a:graphic>
                </wp:inline>
              </w:drawing>
            </w:r>
          </w:p>
        </w:tc>
        <w:tc>
          <w:tcPr>
            <w:tcW w:w="555" w:type="pct"/>
            <w:noWrap w:val="0"/>
            <w:vAlign w:val="center"/>
          </w:tcPr>
          <w:p>
            <w:pPr>
              <w:widowControl/>
              <w:spacing w:line="240" w:lineRule="auto"/>
              <w:ind w:firstLine="0" w:firstLineChars="0"/>
              <w:jc w:val="center"/>
              <w:rPr>
                <w:rFonts w:hint="default" w:eastAsia="仿宋_GB2312"/>
                <w:sz w:val="21"/>
                <w:szCs w:val="21"/>
                <w:lang w:val="en-US" w:eastAsia="zh-CN"/>
              </w:rPr>
            </w:pPr>
            <w:r>
              <w:rPr>
                <w:rFonts w:hint="eastAsia"/>
                <w:sz w:val="21"/>
                <w:szCs w:val="21"/>
                <w:lang w:val="en-US" w:eastAsia="zh-CN"/>
              </w:rPr>
              <w:t>建筑物旁雨水井</w:t>
            </w:r>
          </w:p>
        </w:tc>
        <w:tc>
          <w:tcPr>
            <w:tcW w:w="671" w:type="pct"/>
            <w:noWrap w:val="0"/>
            <w:vAlign w:val="center"/>
          </w:tcPr>
          <w:p>
            <w:pPr>
              <w:widowControl/>
              <w:spacing w:line="240" w:lineRule="auto"/>
              <w:ind w:firstLine="0" w:firstLineChars="0"/>
              <w:jc w:val="center"/>
              <w:rPr>
                <w:sz w:val="21"/>
                <w:szCs w:val="21"/>
              </w:rPr>
            </w:pPr>
            <w:r>
              <w:rPr>
                <w:rFonts w:hint="eastAsia"/>
                <w:sz w:val="21"/>
                <w:szCs w:val="21"/>
                <w:lang w:val="en-US" w:eastAsia="zh-CN"/>
              </w:rPr>
              <w:t>2021</w:t>
            </w:r>
            <w:r>
              <w:rPr>
                <w:rFonts w:hint="eastAsia"/>
                <w:sz w:val="21"/>
                <w:szCs w:val="21"/>
              </w:rPr>
              <w:t>年</w:t>
            </w:r>
            <w:r>
              <w:rPr>
                <w:rFonts w:hint="eastAsia"/>
                <w:sz w:val="21"/>
                <w:szCs w:val="21"/>
                <w:lang w:val="en-US" w:eastAsia="zh-CN"/>
              </w:rPr>
              <w:t>1</w:t>
            </w:r>
            <w:r>
              <w:rPr>
                <w:rFonts w:hint="eastAsia"/>
                <w:sz w:val="21"/>
                <w:szCs w:val="21"/>
              </w:rPr>
              <w:t>月</w:t>
            </w:r>
          </w:p>
        </w:tc>
        <w:tc>
          <w:tcPr>
            <w:tcW w:w="655" w:type="pct"/>
            <w:noWrap w:val="0"/>
            <w:vAlign w:val="center"/>
          </w:tcPr>
          <w:p>
            <w:pPr>
              <w:widowControl/>
              <w:spacing w:line="240" w:lineRule="auto"/>
              <w:ind w:firstLine="0" w:firstLineChars="0"/>
              <w:jc w:val="center"/>
              <w:rPr>
                <w:sz w:val="21"/>
                <w:szCs w:val="21"/>
              </w:rPr>
            </w:pPr>
            <w:r>
              <w:rPr>
                <w:rFonts w:hint="eastAsia"/>
                <w:sz w:val="21"/>
                <w:szCs w:val="21"/>
                <w:lang w:val="en-US" w:eastAsia="zh-CN"/>
              </w:rPr>
              <w:t>雨水井</w:t>
            </w:r>
            <w:r>
              <w:rPr>
                <w:rFonts w:hint="eastAsia"/>
                <w:sz w:val="21"/>
                <w:szCs w:val="21"/>
              </w:rPr>
              <w:t>无淤积，排水通畅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4" w:hRule="atLeast"/>
          <w:jc w:val="center"/>
        </w:trPr>
        <w:tc>
          <w:tcPr>
            <w:tcW w:w="3117" w:type="pct"/>
            <w:noWrap w:val="0"/>
            <w:vAlign w:val="center"/>
          </w:tcPr>
          <w:p>
            <w:pPr>
              <w:widowControl/>
              <w:spacing w:line="240" w:lineRule="auto"/>
              <w:ind w:firstLine="0" w:firstLineChars="0"/>
              <w:jc w:val="center"/>
              <w:rPr>
                <w:rFonts w:hint="eastAsia"/>
                <w:lang w:eastAsia="zh-CN"/>
              </w:rPr>
            </w:pPr>
            <w:r>
              <w:drawing>
                <wp:inline distT="0" distB="0" distL="114300" distR="114300">
                  <wp:extent cx="2440305" cy="1964055"/>
                  <wp:effectExtent l="0" t="0" r="17145" b="17145"/>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44"/>
                          <a:stretch>
                            <a:fillRect/>
                          </a:stretch>
                        </pic:blipFill>
                        <pic:spPr>
                          <a:xfrm>
                            <a:off x="0" y="0"/>
                            <a:ext cx="2440305" cy="1964055"/>
                          </a:xfrm>
                          <a:prstGeom prst="rect">
                            <a:avLst/>
                          </a:prstGeom>
                          <a:noFill/>
                          <a:ln>
                            <a:noFill/>
                          </a:ln>
                        </pic:spPr>
                      </pic:pic>
                    </a:graphicData>
                  </a:graphic>
                </wp:inline>
              </w:drawing>
            </w:r>
            <w:r>
              <w:drawing>
                <wp:inline distT="0" distB="0" distL="114300" distR="114300">
                  <wp:extent cx="2432685" cy="1557655"/>
                  <wp:effectExtent l="0" t="0" r="5715" b="4445"/>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45"/>
                          <a:stretch>
                            <a:fillRect/>
                          </a:stretch>
                        </pic:blipFill>
                        <pic:spPr>
                          <a:xfrm>
                            <a:off x="0" y="0"/>
                            <a:ext cx="2432685" cy="1557655"/>
                          </a:xfrm>
                          <a:prstGeom prst="rect">
                            <a:avLst/>
                          </a:prstGeom>
                          <a:noFill/>
                          <a:ln>
                            <a:noFill/>
                          </a:ln>
                        </pic:spPr>
                      </pic:pic>
                    </a:graphicData>
                  </a:graphic>
                </wp:inline>
              </w:drawing>
            </w:r>
          </w:p>
        </w:tc>
        <w:tc>
          <w:tcPr>
            <w:tcW w:w="555" w:type="pct"/>
            <w:noWrap w:val="0"/>
            <w:vAlign w:val="center"/>
          </w:tcPr>
          <w:p>
            <w:pPr>
              <w:widowControl/>
              <w:spacing w:line="240" w:lineRule="auto"/>
              <w:ind w:firstLine="0" w:firstLineChars="0"/>
              <w:jc w:val="center"/>
              <w:rPr>
                <w:rFonts w:hint="eastAsia" w:eastAsia="仿宋_GB2312"/>
                <w:sz w:val="21"/>
                <w:szCs w:val="21"/>
                <w:lang w:val="en-US" w:eastAsia="zh-CN"/>
              </w:rPr>
            </w:pPr>
            <w:r>
              <w:rPr>
                <w:rFonts w:hint="eastAsia"/>
                <w:sz w:val="21"/>
                <w:szCs w:val="21"/>
                <w:lang w:val="en-US" w:eastAsia="zh-CN"/>
              </w:rPr>
              <w:t>绿化</w:t>
            </w:r>
          </w:p>
        </w:tc>
        <w:tc>
          <w:tcPr>
            <w:tcW w:w="671" w:type="pct"/>
            <w:noWrap w:val="0"/>
            <w:vAlign w:val="center"/>
          </w:tcPr>
          <w:p>
            <w:pPr>
              <w:widowControl/>
              <w:spacing w:line="240" w:lineRule="auto"/>
              <w:ind w:firstLine="0" w:firstLineChars="0"/>
              <w:jc w:val="center"/>
              <w:rPr>
                <w:sz w:val="21"/>
                <w:szCs w:val="21"/>
              </w:rPr>
            </w:pPr>
            <w:r>
              <w:rPr>
                <w:rFonts w:hint="eastAsia"/>
                <w:sz w:val="21"/>
                <w:szCs w:val="21"/>
                <w:lang w:val="en-US" w:eastAsia="zh-CN"/>
              </w:rPr>
              <w:t>2021</w:t>
            </w:r>
            <w:r>
              <w:rPr>
                <w:rFonts w:hint="eastAsia"/>
                <w:sz w:val="21"/>
                <w:szCs w:val="21"/>
              </w:rPr>
              <w:t>年</w:t>
            </w:r>
            <w:r>
              <w:rPr>
                <w:rFonts w:hint="eastAsia"/>
                <w:sz w:val="21"/>
                <w:szCs w:val="21"/>
                <w:lang w:val="en-US" w:eastAsia="zh-CN"/>
              </w:rPr>
              <w:t>1</w:t>
            </w:r>
            <w:r>
              <w:rPr>
                <w:rFonts w:hint="eastAsia"/>
                <w:sz w:val="21"/>
                <w:szCs w:val="21"/>
              </w:rPr>
              <w:t>月</w:t>
            </w:r>
          </w:p>
        </w:tc>
        <w:tc>
          <w:tcPr>
            <w:tcW w:w="655" w:type="pct"/>
            <w:noWrap w:val="0"/>
            <w:vAlign w:val="center"/>
          </w:tcPr>
          <w:p>
            <w:pPr>
              <w:widowControl/>
              <w:spacing w:line="240" w:lineRule="auto"/>
              <w:ind w:firstLine="0" w:firstLineChars="0"/>
              <w:jc w:val="center"/>
              <w:rPr>
                <w:rFonts w:hint="default" w:eastAsia="仿宋_GB2312"/>
                <w:sz w:val="21"/>
                <w:szCs w:val="21"/>
                <w:lang w:val="en-US" w:eastAsia="zh-CN"/>
              </w:rPr>
            </w:pPr>
            <w:r>
              <w:rPr>
                <w:rFonts w:hint="eastAsia"/>
                <w:sz w:val="21"/>
                <w:szCs w:val="21"/>
                <w:lang w:val="en-US" w:eastAsia="zh-CN"/>
              </w:rPr>
              <w:t>植被长势良好</w:t>
            </w:r>
          </w:p>
        </w:tc>
      </w:tr>
    </w:tbl>
    <w:p>
      <w:r>
        <w:br w:type="page"/>
      </w:r>
    </w:p>
    <w:p>
      <w:pPr>
        <w:pStyle w:val="3"/>
        <w:pageBreakBefore/>
        <w:adjustRightInd w:val="0"/>
        <w:spacing w:before="0" w:after="0" w:line="240" w:lineRule="auto"/>
        <w:rPr>
          <w:rFonts w:hint="default" w:ascii="Times New Roman" w:hAnsi="Times New Roman" w:eastAsia="黑体" w:cs="Times New Roman"/>
          <w:b w:val="0"/>
          <w:color w:val="000000"/>
          <w:lang w:eastAsia="zh-CN"/>
        </w:rPr>
      </w:pPr>
      <w:bookmarkStart w:id="207" w:name="_Toc2797"/>
      <w:bookmarkStart w:id="208" w:name="_Toc15655"/>
      <w:bookmarkStart w:id="209" w:name="_Toc27751"/>
      <w:r>
        <w:rPr>
          <w:rFonts w:hint="default" w:ascii="Times New Roman" w:hAnsi="Times New Roman" w:eastAsia="黑体" w:cs="Times New Roman"/>
          <w:b w:val="0"/>
          <w:color w:val="000000"/>
        </w:rPr>
        <w:t>附件</w:t>
      </w:r>
      <w:r>
        <w:rPr>
          <w:rFonts w:hint="eastAsia" w:eastAsia="黑体" w:cs="Times New Roman"/>
          <w:b w:val="0"/>
          <w:color w:val="000000"/>
          <w:lang w:val="en-US" w:eastAsia="zh-CN"/>
        </w:rPr>
        <w:t>3</w:t>
      </w:r>
      <w:r>
        <w:rPr>
          <w:rFonts w:hint="default" w:ascii="Times New Roman" w:hAnsi="Times New Roman" w:eastAsia="黑体" w:cs="Times New Roman"/>
          <w:b w:val="0"/>
          <w:color w:val="000000"/>
          <w:lang w:eastAsia="zh-CN"/>
        </w:rPr>
        <w:t xml:space="preserve"> </w:t>
      </w:r>
      <w:r>
        <w:rPr>
          <w:rFonts w:hint="default" w:ascii="Times New Roman" w:hAnsi="Times New Roman" w:eastAsia="黑体" w:cs="Times New Roman"/>
          <w:b w:val="0"/>
          <w:bCs/>
          <w:color w:val="000000"/>
          <w:lang w:eastAsia="zh-CN"/>
        </w:rPr>
        <w:t>本工程防治责任范围、防治措施及</w:t>
      </w:r>
      <w:r>
        <w:rPr>
          <w:rFonts w:hint="default" w:ascii="Times New Roman" w:hAnsi="Times New Roman" w:eastAsia="黑体" w:cs="Times New Roman"/>
          <w:b w:val="0"/>
          <w:color w:val="000000"/>
        </w:rPr>
        <w:t>监测</w:t>
      </w:r>
      <w:r>
        <w:rPr>
          <w:rFonts w:hint="default" w:ascii="Times New Roman" w:hAnsi="Times New Roman" w:eastAsia="黑体" w:cs="Times New Roman"/>
          <w:b w:val="0"/>
          <w:color w:val="000000"/>
          <w:lang w:eastAsia="zh-CN"/>
        </w:rPr>
        <w:t>点位置图</w:t>
      </w:r>
      <w:bookmarkEnd w:id="207"/>
      <w:bookmarkEnd w:id="208"/>
      <w:bookmarkEnd w:id="209"/>
    </w:p>
    <w:p>
      <w:pPr>
        <w:pStyle w:val="9"/>
        <w:ind w:left="0" w:leftChars="0" w:firstLine="0" w:firstLineChars="0"/>
      </w:pPr>
    </w:p>
    <w:sectPr>
      <w:headerReference r:id="rId23" w:type="default"/>
      <w:footerReference r:id="rId2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TimesNewRomanPSMT">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top w:val="none" w:color="auto" w:sz="0" w:space="0"/>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top w:val="none" w:color="auto" w:sz="0" w:space="0"/>
      </w:pBd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top w:val="single" w:color="auto" w:sz="4" w:space="0"/>
      </w:pBdr>
    </w:pPr>
    <w:r>
      <w:rPr>
        <w:rFonts w:hint="eastAsia" w:ascii="宋体" w:hAnsi="宋体" w:eastAsia="宋体" w:cs="宋体"/>
        <w:sz w:val="22"/>
        <w:szCs w:val="22"/>
        <w:lang w:eastAsia="zh-CN"/>
      </w:rPr>
      <w:t>广东环晟水利环境科技有限公司</w:t>
    </w:r>
    <w:r>
      <w:rPr>
        <w:sz w:val="24"/>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top w:val="single" w:color="auto" w:sz="4" w:space="0"/>
      </w:pBdr>
      <w:ind w:firstLine="8820" w:firstLineChars="4200"/>
    </w:pPr>
    <w:r>
      <w:rPr>
        <w:rFonts w:hint="eastAsia" w:ascii="宋体" w:hAnsi="宋体" w:eastAsia="宋体" w:cs="宋体"/>
        <w:sz w:val="21"/>
        <w:szCs w:val="21"/>
        <w:lang w:eastAsia="zh-CN"/>
      </w:rPr>
      <w:t>广东环晟水利环境科技有限公司</w:t>
    </w:r>
    <w:r>
      <w:rPr>
        <w:sz w:val="24"/>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top w:val="single" w:color="auto" w:sz="4" w:space="0"/>
      </w:pBdr>
    </w:pPr>
    <w:r>
      <w:rPr>
        <w:rFonts w:hint="eastAsia" w:ascii="宋体" w:hAnsi="宋体" w:eastAsia="宋体" w:cs="宋体"/>
        <w:sz w:val="22"/>
        <w:szCs w:val="22"/>
        <w:lang w:eastAsia="zh-CN"/>
      </w:rPr>
      <w:t>广东环晟水利环境科技有限公司</w:t>
    </w:r>
    <w:r>
      <w:rPr>
        <w:sz w:val="24"/>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top w:val="single" w:color="auto" w:sz="4" w:space="0"/>
      </w:pBdr>
    </w:pPr>
    <w:r>
      <w:rPr>
        <w:rFonts w:hint="eastAsia" w:ascii="宋体" w:hAnsi="宋体" w:eastAsia="宋体" w:cs="宋体"/>
        <w:sz w:val="22"/>
        <w:szCs w:val="22"/>
        <w:lang w:eastAsia="zh-CN"/>
      </w:rPr>
      <w:t>广东环晟水利环境科技有限公司</w:t>
    </w:r>
    <w:r>
      <w:rPr>
        <w:sz w:val="24"/>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eastAsia" w:ascii="仿宋_GB2312" w:eastAsia="仿宋_GB2312"/>
      </w:rPr>
    </w:pPr>
    <w:r>
      <w:rPr>
        <w:rFonts w:hint="eastAsia" w:ascii="仿宋_GB2312" w:eastAsia="仿宋_GB2312"/>
      </w:rPr>
      <w:t>500kV国安站-220kV珠海站220kV输电线路工程水土保持监测总结报告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hint="eastAsia"/>
        <w:lang w:val="en-US"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1"/>
      </w:pBdr>
      <w:spacing w:line="240" w:lineRule="auto"/>
      <w:ind w:firstLine="0" w:firstLineChars="0"/>
      <w:jc w:val="center"/>
      <w:rPr>
        <w:rFonts w:hint="eastAsia" w:eastAsia="仿宋_GB2312"/>
        <w:lang w:val="en-US" w:eastAsia="zh-CN"/>
      </w:rPr>
    </w:pPr>
    <w:r>
      <w:rPr>
        <w:rFonts w:hint="eastAsia"/>
        <w:lang w:val="en-US" w:eastAsia="zh-CN"/>
      </w:rPr>
      <w:t>前言</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firstLine="0" w:firstLineChars="0"/>
      <w:rPr>
        <w:rFonts w:hint="default" w:eastAsia="仿宋_GB2312"/>
        <w:lang w:val="en-US" w:eastAsia="zh-CN"/>
      </w:rPr>
    </w:pPr>
    <w:r>
      <w:rPr>
        <w:rFonts w:hint="eastAsia"/>
        <w:lang w:val="en-US" w:eastAsia="zh-CN"/>
      </w:rPr>
      <w:t>1建设项目及水土保持工程概况</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firstLine="0" w:firstLineChars="0"/>
      <w:rPr>
        <w:rFonts w:hint="default" w:eastAsia="仿宋_GB2312"/>
        <w:lang w:val="en-US" w:eastAsia="zh-CN"/>
      </w:rPr>
    </w:pPr>
    <w:r>
      <w:rPr>
        <w:rFonts w:hint="eastAsia"/>
        <w:lang w:val="en-US" w:eastAsia="zh-CN"/>
      </w:rPr>
      <w:t>2监测内容和方法</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firstLine="0" w:firstLineChars="0"/>
      <w:rPr>
        <w:rFonts w:hint="default" w:eastAsia="仿宋_GB2312"/>
        <w:lang w:val="en-US" w:eastAsia="zh-CN"/>
      </w:rPr>
    </w:pPr>
    <w:r>
      <w:rPr>
        <w:rFonts w:hint="eastAsia"/>
        <w:lang w:val="en-US" w:eastAsia="zh-CN"/>
      </w:rPr>
      <w:t>3重点对象水土流失动态监测</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firstLine="0" w:firstLineChars="0"/>
      <w:rPr>
        <w:rFonts w:hint="default" w:eastAsia="仿宋_GB2312"/>
        <w:lang w:val="en-US" w:eastAsia="zh-CN"/>
      </w:rPr>
    </w:pPr>
    <w:r>
      <w:rPr>
        <w:rFonts w:hint="eastAsia"/>
        <w:lang w:val="en-US" w:eastAsia="zh-CN"/>
      </w:rPr>
      <w:t>4水土流失防治措施监测结果</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pBdr>
        <w:bottom w:val="single" w:color="auto" w:sz="4" w:space="1"/>
      </w:pBdr>
      <w:kinsoku/>
      <w:wordWrap/>
      <w:overflowPunct/>
      <w:topLinePunct w:val="0"/>
      <w:autoSpaceDE/>
      <w:autoSpaceDN/>
      <w:bidi w:val="0"/>
      <w:adjustRightInd/>
      <w:snapToGrid w:val="0"/>
      <w:spacing w:line="240" w:lineRule="auto"/>
      <w:textAlignment w:val="auto"/>
      <w:rPr>
        <w:rFonts w:hint="default" w:eastAsia="仿宋_GB2312"/>
        <w:lang w:val="en-US" w:eastAsia="zh-CN"/>
      </w:rPr>
    </w:pPr>
    <w:r>
      <w:rPr>
        <w:rFonts w:hint="eastAsia"/>
        <w:lang w:val="en-US" w:eastAsia="zh-CN"/>
      </w:rPr>
      <w:t>5水土流失情况监测</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pBdr>
        <w:bottom w:val="single" w:color="auto" w:sz="4" w:space="1"/>
      </w:pBdr>
      <w:kinsoku/>
      <w:wordWrap/>
      <w:overflowPunct/>
      <w:topLinePunct w:val="0"/>
      <w:autoSpaceDE/>
      <w:autoSpaceDN/>
      <w:bidi w:val="0"/>
      <w:adjustRightInd/>
      <w:snapToGrid w:val="0"/>
      <w:spacing w:line="240" w:lineRule="auto"/>
      <w:textAlignment w:val="auto"/>
      <w:rPr>
        <w:rFonts w:hint="default" w:eastAsia="仿宋_GB2312"/>
        <w:lang w:val="en-US" w:eastAsia="zh-CN"/>
      </w:rPr>
    </w:pPr>
    <w:r>
      <w:rPr>
        <w:rFonts w:hint="eastAsia"/>
        <w:lang w:val="en-US" w:eastAsia="zh-CN"/>
      </w:rPr>
      <w:t>6水土流失防治效果监测结果</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pBdr>
        <w:bottom w:val="single" w:color="auto" w:sz="4" w:space="1"/>
      </w:pBdr>
      <w:kinsoku/>
      <w:wordWrap/>
      <w:overflowPunct/>
      <w:topLinePunct w:val="0"/>
      <w:autoSpaceDE/>
      <w:autoSpaceDN/>
      <w:bidi w:val="0"/>
      <w:adjustRightInd/>
      <w:snapToGrid w:val="0"/>
      <w:spacing w:line="240" w:lineRule="auto"/>
      <w:textAlignment w:val="auto"/>
      <w:rPr>
        <w:rFonts w:hint="default" w:eastAsia="仿宋_GB2312"/>
        <w:lang w:val="en-US" w:eastAsia="zh-CN"/>
      </w:rPr>
    </w:pPr>
    <w:r>
      <w:rPr>
        <w:rFonts w:hint="eastAsia"/>
        <w:lang w:val="en-US" w:eastAsia="zh-CN"/>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16E983"/>
    <w:multiLevelType w:val="singleLevel"/>
    <w:tmpl w:val="2816E983"/>
    <w:lvl w:ilvl="0" w:tentative="0">
      <w:start w:val="3"/>
      <w:numFmt w:val="decimal"/>
      <w:suff w:val="nothing"/>
      <w:lvlText w:val="%1、"/>
      <w:lvlJc w:val="left"/>
    </w:lvl>
  </w:abstractNum>
  <w:abstractNum w:abstractNumId="1">
    <w:nsid w:val="705B9896"/>
    <w:multiLevelType w:val="singleLevel"/>
    <w:tmpl w:val="705B989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3B280C"/>
    <w:rsid w:val="00895AB6"/>
    <w:rsid w:val="010A5E10"/>
    <w:rsid w:val="01347E3D"/>
    <w:rsid w:val="034929C6"/>
    <w:rsid w:val="047F7EBF"/>
    <w:rsid w:val="058C0226"/>
    <w:rsid w:val="06395C2A"/>
    <w:rsid w:val="06E74035"/>
    <w:rsid w:val="08861EC9"/>
    <w:rsid w:val="0C4E64B0"/>
    <w:rsid w:val="0DC31870"/>
    <w:rsid w:val="0E6F3B51"/>
    <w:rsid w:val="106023FF"/>
    <w:rsid w:val="10AF34FA"/>
    <w:rsid w:val="12553641"/>
    <w:rsid w:val="17093F0E"/>
    <w:rsid w:val="18427888"/>
    <w:rsid w:val="19844935"/>
    <w:rsid w:val="205661D5"/>
    <w:rsid w:val="21F82703"/>
    <w:rsid w:val="223B280C"/>
    <w:rsid w:val="22AF0C9A"/>
    <w:rsid w:val="2419720D"/>
    <w:rsid w:val="247954AE"/>
    <w:rsid w:val="2AAC5131"/>
    <w:rsid w:val="2C615491"/>
    <w:rsid w:val="2C754273"/>
    <w:rsid w:val="2CB0209B"/>
    <w:rsid w:val="2D6B0DF0"/>
    <w:rsid w:val="2F544798"/>
    <w:rsid w:val="3A3B3296"/>
    <w:rsid w:val="3C4B4219"/>
    <w:rsid w:val="3DA03EA0"/>
    <w:rsid w:val="3F696533"/>
    <w:rsid w:val="429147D5"/>
    <w:rsid w:val="42DC0166"/>
    <w:rsid w:val="48441691"/>
    <w:rsid w:val="4B0B57D2"/>
    <w:rsid w:val="4B202DDC"/>
    <w:rsid w:val="4B541206"/>
    <w:rsid w:val="4BE963CA"/>
    <w:rsid w:val="4EF3348C"/>
    <w:rsid w:val="517C240E"/>
    <w:rsid w:val="51D931B3"/>
    <w:rsid w:val="53555FB3"/>
    <w:rsid w:val="53F00CFE"/>
    <w:rsid w:val="55DF7172"/>
    <w:rsid w:val="55F741BE"/>
    <w:rsid w:val="56B12F8F"/>
    <w:rsid w:val="5A345F10"/>
    <w:rsid w:val="5BAA7AA0"/>
    <w:rsid w:val="5E09677D"/>
    <w:rsid w:val="601114DE"/>
    <w:rsid w:val="6167151A"/>
    <w:rsid w:val="64837DC5"/>
    <w:rsid w:val="653F10F2"/>
    <w:rsid w:val="6791165A"/>
    <w:rsid w:val="6AA20597"/>
    <w:rsid w:val="6C852370"/>
    <w:rsid w:val="6D0B7AD2"/>
    <w:rsid w:val="6E5B5DB4"/>
    <w:rsid w:val="6EBA1EAD"/>
    <w:rsid w:val="727C4CFB"/>
    <w:rsid w:val="769D5354"/>
    <w:rsid w:val="7AAB2152"/>
    <w:rsid w:val="7BF77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3" w:firstLineChars="200"/>
      <w:jc w:val="both"/>
    </w:pPr>
    <w:rPr>
      <w:rFonts w:ascii="Times New Roman" w:hAnsi="Times New Roman" w:eastAsia="仿宋_GB2312" w:cs="Times New Roman"/>
      <w:kern w:val="2"/>
      <w:sz w:val="24"/>
      <w:szCs w:val="22"/>
      <w:lang w:val="en-US" w:eastAsia="zh-CN" w:bidi="ar-SA"/>
    </w:rPr>
  </w:style>
  <w:style w:type="paragraph" w:styleId="3">
    <w:name w:val="heading 1"/>
    <w:basedOn w:val="1"/>
    <w:next w:val="1"/>
    <w:qFormat/>
    <w:uiPriority w:val="0"/>
    <w:pPr>
      <w:keepNext/>
      <w:keepLines/>
      <w:snapToGrid w:val="0"/>
      <w:spacing w:before="340" w:after="240" w:line="240" w:lineRule="auto"/>
      <w:jc w:val="center"/>
      <w:outlineLvl w:val="0"/>
    </w:pPr>
    <w:rPr>
      <w:rFonts w:ascii="Times New Roman" w:hAnsi="Times New Roman"/>
      <w:b/>
      <w:bCs/>
      <w:kern w:val="44"/>
      <w:sz w:val="44"/>
      <w:szCs w:val="44"/>
    </w:rPr>
  </w:style>
  <w:style w:type="paragraph" w:styleId="4">
    <w:name w:val="heading 2"/>
    <w:basedOn w:val="1"/>
    <w:next w:val="1"/>
    <w:link w:val="20"/>
    <w:unhideWhenUsed/>
    <w:qFormat/>
    <w:uiPriority w:val="0"/>
    <w:pPr>
      <w:keepNext/>
      <w:keepLines/>
      <w:spacing w:line="360" w:lineRule="auto"/>
      <w:ind w:firstLine="0" w:firstLineChars="0"/>
      <w:outlineLvl w:val="1"/>
    </w:pPr>
    <w:rPr>
      <w:rFonts w:ascii="Times New Roman" w:hAnsi="Times New Roman"/>
      <w:b/>
      <w:sz w:val="32"/>
    </w:rPr>
  </w:style>
  <w:style w:type="paragraph" w:styleId="5">
    <w:name w:val="heading 3"/>
    <w:basedOn w:val="1"/>
    <w:next w:val="1"/>
    <w:link w:val="21"/>
    <w:semiHidden/>
    <w:unhideWhenUsed/>
    <w:qFormat/>
    <w:uiPriority w:val="0"/>
    <w:pPr>
      <w:keepNext/>
      <w:keepLines/>
      <w:ind w:firstLine="0" w:firstLineChars="0"/>
      <w:outlineLvl w:val="2"/>
    </w:pPr>
    <w:rPr>
      <w:rFonts w:ascii="Times New Roman" w:hAnsi="Times New Roman" w:eastAsia="仿宋_GB2312" w:cs="Times New Roman"/>
      <w:b/>
      <w:sz w:val="28"/>
      <w:szCs w:val="24"/>
    </w:rPr>
  </w:style>
  <w:style w:type="paragraph" w:styleId="6">
    <w:name w:val="heading 4"/>
    <w:basedOn w:val="1"/>
    <w:next w:val="1"/>
    <w:link w:val="22"/>
    <w:semiHidden/>
    <w:unhideWhenUsed/>
    <w:qFormat/>
    <w:uiPriority w:val="0"/>
    <w:pPr>
      <w:keepNext/>
      <w:keepLines/>
      <w:spacing w:line="240" w:lineRule="auto"/>
      <w:ind w:firstLine="0" w:firstLineChars="0"/>
      <w:outlineLvl w:val="3"/>
    </w:pPr>
    <w:rPr>
      <w:rFonts w:asciiTheme="majorAscii" w:hAnsiTheme="majorAscii" w:cstheme="majorBidi"/>
      <w:b/>
      <w:bCs/>
      <w:szCs w:val="28"/>
    </w:rPr>
  </w:style>
  <w:style w:type="character" w:default="1" w:styleId="14">
    <w:name w:val="Default Paragraph Font"/>
    <w:semiHidden/>
    <w:unhideWhenUsed/>
    <w:qFormat/>
    <w:uiPriority w:val="1"/>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caption"/>
    <w:basedOn w:val="1"/>
    <w:next w:val="1"/>
    <w:unhideWhenUsed/>
    <w:qFormat/>
    <w:uiPriority w:val="0"/>
    <w:pPr>
      <w:spacing w:line="360" w:lineRule="auto"/>
      <w:ind w:firstLine="482" w:firstLineChars="0"/>
      <w:jc w:val="center"/>
    </w:pPr>
    <w:rPr>
      <w:rFonts w:ascii="Times New Roman" w:hAnsi="Times New Roman" w:cstheme="majorBidi"/>
      <w:szCs w:val="20"/>
    </w:rPr>
  </w:style>
  <w:style w:type="paragraph" w:styleId="8">
    <w:name w:val="annotation text"/>
    <w:basedOn w:val="1"/>
    <w:qFormat/>
    <w:uiPriority w:val="0"/>
    <w:pPr>
      <w:jc w:val="left"/>
    </w:pPr>
  </w:style>
  <w:style w:type="paragraph" w:styleId="9">
    <w:name w:val="Body Text"/>
    <w:basedOn w:val="1"/>
    <w:qFormat/>
    <w:uiPriority w:val="0"/>
    <w:pPr>
      <w:spacing w:after="120" w:afterLines="0" w:afterAutospacing="0"/>
    </w:pPr>
  </w:style>
  <w:style w:type="paragraph" w:styleId="10">
    <w:name w:val="Plain Text"/>
    <w:basedOn w:val="1"/>
    <w:qFormat/>
    <w:uiPriority w:val="0"/>
    <w:pPr>
      <w:autoSpaceDE w:val="0"/>
      <w:autoSpaceDN w:val="0"/>
      <w:adjustRightInd w:val="0"/>
      <w:spacing w:line="360" w:lineRule="atLeast"/>
      <w:jc w:val="left"/>
    </w:pPr>
    <w:rPr>
      <w:kern w:val="44"/>
      <w:szCs w:val="20"/>
    </w:rPr>
  </w:style>
  <w:style w:type="paragraph" w:styleId="11">
    <w:name w:val="footer"/>
    <w:basedOn w:val="1"/>
    <w:qFormat/>
    <w:uiPriority w:val="99"/>
    <w:pPr>
      <w:pBdr>
        <w:top w:val="single" w:color="auto" w:sz="4" w:space="1"/>
      </w:pBdr>
      <w:tabs>
        <w:tab w:val="center" w:pos="4153"/>
        <w:tab w:val="right" w:pos="8306"/>
      </w:tabs>
      <w:snapToGrid w:val="0"/>
      <w:jc w:val="left"/>
    </w:pPr>
    <w:rPr>
      <w:rFonts w:ascii="Times New Roman" w:hAnsi="Times New Roman" w:eastAsia="仿宋_GB2312"/>
      <w:szCs w:val="18"/>
    </w:rPr>
  </w:style>
  <w:style w:type="paragraph" w:styleId="12">
    <w:name w:val="header"/>
    <w:basedOn w:val="1"/>
    <w:qFormat/>
    <w:uiPriority w:val="99"/>
    <w:pPr>
      <w:pBdr>
        <w:bottom w:val="single" w:color="auto" w:sz="6" w:space="1"/>
      </w:pBdr>
      <w:tabs>
        <w:tab w:val="center" w:pos="4153"/>
        <w:tab w:val="right" w:pos="8306"/>
      </w:tabs>
      <w:snapToGrid w:val="0"/>
      <w:jc w:val="center"/>
    </w:pPr>
    <w:rPr>
      <w:rFonts w:ascii="Times New Roman" w:hAnsi="Times New Roman"/>
      <w:szCs w:val="18"/>
    </w:rPr>
  </w:style>
  <w:style w:type="character" w:styleId="15">
    <w:name w:val="page number"/>
    <w:qFormat/>
    <w:uiPriority w:val="0"/>
    <w:rPr>
      <w:sz w:val="18"/>
    </w:rPr>
  </w:style>
  <w:style w:type="paragraph" w:customStyle="1" w:styleId="16">
    <w:name w:val="样式 宋体 小四 行距: 1.5 倍行距"/>
    <w:basedOn w:val="1"/>
    <w:qFormat/>
    <w:uiPriority w:val="0"/>
    <w:pPr>
      <w:ind w:left="0" w:leftChars="0" w:rightChars="0"/>
    </w:pPr>
    <w:rPr>
      <w:rFonts w:ascii="宋体" w:hAnsi="宋体" w:eastAsia="宋体" w:cs="宋体"/>
      <w:kern w:val="2"/>
      <w:sz w:val="28"/>
      <w:lang w:val="en-US" w:eastAsia="zh-CN" w:bidi="ar-SA"/>
    </w:rPr>
  </w:style>
  <w:style w:type="paragraph" w:customStyle="1" w:styleId="17">
    <w:name w:val="水保表格"/>
    <w:next w:val="1"/>
    <w:qFormat/>
    <w:uiPriority w:val="0"/>
    <w:pPr>
      <w:spacing w:line="240" w:lineRule="auto"/>
      <w:ind w:firstLine="0" w:firstLineChars="0"/>
      <w:jc w:val="center"/>
    </w:pPr>
    <w:rPr>
      <w:rFonts w:ascii="Times New Roman" w:hAnsi="Times New Roman" w:eastAsia="仿宋_GB2312" w:cstheme="minorBidi"/>
      <w:sz w:val="21"/>
    </w:rPr>
  </w:style>
  <w:style w:type="paragraph" w:customStyle="1" w:styleId="18">
    <w:name w:val="注"/>
    <w:basedOn w:val="1"/>
    <w:qFormat/>
    <w:uiPriority w:val="0"/>
    <w:pPr>
      <w:spacing w:line="240" w:lineRule="auto"/>
    </w:pPr>
    <w:rPr>
      <w:rFonts w:ascii="Times New Roman" w:hAnsi="Times New Roman"/>
      <w:sz w:val="21"/>
    </w:rPr>
  </w:style>
  <w:style w:type="paragraph" w:customStyle="1" w:styleId="19">
    <w:name w:val="内蒙表格"/>
    <w:basedOn w:val="1"/>
    <w:qFormat/>
    <w:uiPriority w:val="0"/>
    <w:pPr>
      <w:spacing w:line="240" w:lineRule="auto"/>
      <w:ind w:firstLine="0" w:firstLineChars="0"/>
      <w:jc w:val="center"/>
    </w:pPr>
    <w:rPr>
      <w:rFonts w:ascii="Times New Roman" w:hAnsi="Times New Roman"/>
      <w:sz w:val="21"/>
    </w:rPr>
  </w:style>
  <w:style w:type="character" w:customStyle="1" w:styleId="20">
    <w:name w:val="标题 2 字符"/>
    <w:basedOn w:val="14"/>
    <w:link w:val="4"/>
    <w:qFormat/>
    <w:uiPriority w:val="9"/>
    <w:rPr>
      <w:rFonts w:ascii="Times New Roman" w:hAnsi="Times New Roman" w:eastAsia="仿宋_GB2312"/>
      <w:b/>
      <w:kern w:val="2"/>
      <w:sz w:val="32"/>
      <w:szCs w:val="24"/>
    </w:rPr>
  </w:style>
  <w:style w:type="character" w:customStyle="1" w:styleId="21">
    <w:name w:val="标题 3 字符"/>
    <w:basedOn w:val="14"/>
    <w:link w:val="5"/>
    <w:qFormat/>
    <w:uiPriority w:val="9"/>
    <w:rPr>
      <w:rFonts w:ascii="Times New Roman" w:hAnsi="Times New Roman" w:eastAsia="仿宋_GB2312" w:cs="Times New Roman"/>
      <w:b/>
      <w:kern w:val="2"/>
      <w:sz w:val="28"/>
      <w:szCs w:val="24"/>
    </w:rPr>
  </w:style>
  <w:style w:type="character" w:customStyle="1" w:styleId="22">
    <w:name w:val="标题 4 字符"/>
    <w:basedOn w:val="14"/>
    <w:link w:val="6"/>
    <w:qFormat/>
    <w:uiPriority w:val="9"/>
    <w:rPr>
      <w:rFonts w:eastAsia="仿宋_GB2312" w:asciiTheme="majorAscii" w:hAnsiTheme="majorAscii" w:cstheme="majorBidi"/>
      <w:b/>
      <w:bCs/>
      <w:kern w:val="2"/>
      <w:sz w:val="21"/>
      <w:szCs w:val="28"/>
    </w:rPr>
  </w:style>
  <w:style w:type="paragraph" w:customStyle="1" w:styleId="23">
    <w:name w:val="监测正文"/>
    <w:basedOn w:val="1"/>
    <w:qFormat/>
    <w:uiPriority w:val="0"/>
    <w:pPr>
      <w:spacing w:line="580" w:lineRule="exact"/>
      <w:ind w:firstLine="640" w:firstLineChars="200"/>
    </w:pPr>
    <w:rPr>
      <w:rFonts w:ascii="Times New Roman" w:hAnsi="Times New Roman" w:eastAsia="宋体"/>
      <w:sz w:val="28"/>
      <w:szCs w:val="28"/>
    </w:rPr>
  </w:style>
  <w:style w:type="paragraph" w:customStyle="1" w:styleId="24">
    <w:name w:val="正文29"/>
    <w:basedOn w:val="1"/>
    <w:qFormat/>
    <w:uiPriority w:val="0"/>
    <w:pPr>
      <w:overflowPunct w:val="0"/>
      <w:topLinePunct/>
      <w:snapToGrid w:val="0"/>
      <w:spacing w:line="360" w:lineRule="auto"/>
      <w:ind w:firstLine="480" w:firstLineChars="200"/>
    </w:pPr>
    <w:rPr>
      <w:rFonts w:ascii="Times New Roman" w:hAnsi="Times New Roman" w:eastAsia="仿宋_GB2312"/>
      <w:color w:val="000000"/>
      <w:sz w:val="24"/>
      <w:szCs w:val="24"/>
    </w:rPr>
  </w:style>
  <w:style w:type="paragraph" w:customStyle="1" w:styleId="25">
    <w:name w:val="WPSOffice手动目录 1"/>
    <w:qFormat/>
    <w:uiPriority w:val="0"/>
    <w:pPr>
      <w:ind w:leftChars="0"/>
    </w:pPr>
    <w:rPr>
      <w:rFonts w:ascii="Times New Roman" w:hAnsi="Times New Roman" w:eastAsia="宋体" w:cs="Times New Roman"/>
      <w:sz w:val="20"/>
      <w:szCs w:val="20"/>
    </w:rPr>
  </w:style>
  <w:style w:type="paragraph" w:customStyle="1" w:styleId="26">
    <w:name w:val="WPSOffice手动目录 2"/>
    <w:qFormat/>
    <w:uiPriority w:val="0"/>
    <w:pPr>
      <w:ind w:leftChars="200"/>
    </w:pPr>
    <w:rPr>
      <w:rFonts w:ascii="Times New Roman" w:hAnsi="Times New Roman" w:eastAsia="宋体" w:cs="Times New Roman"/>
      <w:sz w:val="20"/>
      <w:szCs w:val="20"/>
    </w:rPr>
  </w:style>
  <w:style w:type="paragraph" w:customStyle="1" w:styleId="27">
    <w:name w:val="Czy标题4"/>
    <w:basedOn w:val="6"/>
    <w:next w:val="28"/>
    <w:qFormat/>
    <w:uiPriority w:val="0"/>
    <w:pPr>
      <w:spacing w:before="0" w:beforeLines="0" w:after="0" w:afterLines="0" w:line="377" w:lineRule="auto"/>
    </w:pPr>
    <w:rPr>
      <w:rFonts w:ascii="宋体" w:eastAsia="宋体"/>
      <w:sz w:val="24"/>
    </w:rPr>
  </w:style>
  <w:style w:type="paragraph" w:customStyle="1" w:styleId="28">
    <w:name w:val="Czy正文"/>
    <w:basedOn w:val="1"/>
    <w:qFormat/>
    <w:uiPriority w:val="0"/>
    <w:pPr>
      <w:spacing w:line="360" w:lineRule="auto"/>
      <w:ind w:firstLine="200" w:firstLineChars="200"/>
      <w:textAlignment w:val="baseline"/>
    </w:pPr>
    <w:rPr>
      <w:kern w:val="2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20.png"/><Relationship Id="rId44" Type="http://schemas.openxmlformats.org/officeDocument/2006/relationships/image" Target="media/image19.png"/><Relationship Id="rId43" Type="http://schemas.openxmlformats.org/officeDocument/2006/relationships/image" Target="media/image18.png"/><Relationship Id="rId42" Type="http://schemas.openxmlformats.org/officeDocument/2006/relationships/image" Target="media/image17.png"/><Relationship Id="rId41" Type="http://schemas.openxmlformats.org/officeDocument/2006/relationships/image" Target="media/image16.png"/><Relationship Id="rId40" Type="http://schemas.openxmlformats.org/officeDocument/2006/relationships/image" Target="media/image15.png"/><Relationship Id="rId4" Type="http://schemas.openxmlformats.org/officeDocument/2006/relationships/endnotes" Target="endnotes.xml"/><Relationship Id="rId39" Type="http://schemas.openxmlformats.org/officeDocument/2006/relationships/image" Target="media/image14.png"/><Relationship Id="rId38" Type="http://schemas.openxmlformats.org/officeDocument/2006/relationships/image" Target="media/image13.png"/><Relationship Id="rId37" Type="http://schemas.openxmlformats.org/officeDocument/2006/relationships/image" Target="media/image12.png"/><Relationship Id="rId36" Type="http://schemas.openxmlformats.org/officeDocument/2006/relationships/image" Target="media/image11.png"/><Relationship Id="rId35" Type="http://schemas.openxmlformats.org/officeDocument/2006/relationships/image" Target="media/image10.png"/><Relationship Id="rId34" Type="http://schemas.openxmlformats.org/officeDocument/2006/relationships/image" Target="media/image9.png"/><Relationship Id="rId33" Type="http://schemas.openxmlformats.org/officeDocument/2006/relationships/image" Target="media/image8.png"/><Relationship Id="rId32" Type="http://schemas.openxmlformats.org/officeDocument/2006/relationships/image" Target="media/image7.png"/><Relationship Id="rId31" Type="http://schemas.openxmlformats.org/officeDocument/2006/relationships/image" Target="media/image6.png"/><Relationship Id="rId30" Type="http://schemas.openxmlformats.org/officeDocument/2006/relationships/image" Target="media/image5.png"/><Relationship Id="rId3" Type="http://schemas.openxmlformats.org/officeDocument/2006/relationships/footnotes" Target="footnotes.xml"/><Relationship Id="rId29" Type="http://schemas.openxmlformats.org/officeDocument/2006/relationships/image" Target="media/image4.png"/><Relationship Id="rId28" Type="http://schemas.openxmlformats.org/officeDocument/2006/relationships/image" Target="media/image3.png"/><Relationship Id="rId27" Type="http://schemas.openxmlformats.org/officeDocument/2006/relationships/image" Target="media/image2.png"/><Relationship Id="rId26" Type="http://schemas.openxmlformats.org/officeDocument/2006/relationships/image" Target="media/image1.jpeg"/><Relationship Id="rId25" Type="http://schemas.openxmlformats.org/officeDocument/2006/relationships/theme" Target="theme/theme1.xml"/><Relationship Id="rId24" Type="http://schemas.openxmlformats.org/officeDocument/2006/relationships/footer" Target="footer7.xml"/><Relationship Id="rId23" Type="http://schemas.openxmlformats.org/officeDocument/2006/relationships/header" Target="header13.xml"/><Relationship Id="rId22" Type="http://schemas.openxmlformats.org/officeDocument/2006/relationships/header" Target="header12.xml"/><Relationship Id="rId21" Type="http://schemas.openxmlformats.org/officeDocument/2006/relationships/header" Target="header11.xml"/><Relationship Id="rId20" Type="http://schemas.openxmlformats.org/officeDocument/2006/relationships/header" Target="header10.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2020-11-28T12:30:00Z</dcterms:created>
  <dc:creator>Seul</dc:creator>
  <cp:lastModifiedBy>Administrator</cp:lastModifiedBy>
  <cp:lastPrinted>2020-12-28T07:21:00Z</cp:lastPrinted>
  <dcterms:modified xsi:type="dcterms:W3CDTF">2021-10-26T01:28:37Z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58E6BDE556AC478089CE8E3D0BD851F1</vt:lpwstr>
  </property>
</Properties>
</file>