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jc w:val="center"/>
        <w:rPr>
          <w:rFonts w:ascii="Times New Roman" w:hAnsi="Times New Roman" w:eastAsia="黑体" w:cs="Times New Roman"/>
          <w:sz w:val="52"/>
          <w:szCs w:val="52"/>
        </w:rPr>
      </w:pPr>
      <w:r>
        <w:rPr>
          <w:rFonts w:ascii="Times New Roman" w:hAnsi="Times New Roman" w:eastAsia="黑体" w:cs="Times New Roman"/>
          <w:sz w:val="52"/>
          <w:szCs w:val="52"/>
        </w:rPr>
        <w:t xml:space="preserve">生产建设项目水土保持设施 </w:t>
      </w:r>
    </w:p>
    <w:p>
      <w:pPr>
        <w:jc w:val="center"/>
        <w:rPr>
          <w:rFonts w:ascii="Times New Roman" w:hAnsi="Times New Roman" w:eastAsia="楷体_GB2312" w:cs="Times New Roman"/>
          <w:sz w:val="84"/>
          <w:szCs w:val="84"/>
        </w:rPr>
      </w:pPr>
      <w:r>
        <w:rPr>
          <w:rFonts w:ascii="Times New Roman" w:hAnsi="Times New Roman" w:eastAsia="楷体_GB2312" w:cs="Times New Roman"/>
          <w:sz w:val="84"/>
          <w:szCs w:val="84"/>
        </w:rPr>
        <w:t>验收鉴定书</w:t>
      </w:r>
    </w:p>
    <w:p>
      <w:pPr>
        <w:spacing w:before="156" w:beforeLines="50" w:after="156" w:afterLines="5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before="156" w:beforeLines="50" w:after="156" w:afterLines="50" w:line="360" w:lineRule="auto"/>
        <w:rPr>
          <w:rFonts w:ascii="Times New Roman" w:hAnsi="Times New Roman" w:cs="Times New Roman"/>
          <w:sz w:val="28"/>
          <w:szCs w:val="28"/>
        </w:rPr>
      </w:pPr>
    </w:p>
    <w:p>
      <w:pPr>
        <w:spacing w:line="360" w:lineRule="auto"/>
        <w:jc w:val="left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sz w:val="28"/>
          <w:szCs w:val="28"/>
        </w:rPr>
        <w:t xml:space="preserve">项 目 名 称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  <w:r>
        <w:rPr>
          <w:rFonts w:hint="eastAsia" w:ascii="Times New Roman" w:hAnsi="Times New Roman" w:cs="Times New Roman" w:eastAsiaTheme="minorEastAsia"/>
          <w:b/>
          <w:sz w:val="28"/>
          <w:szCs w:val="28"/>
          <w:u w:val="single"/>
          <w:lang w:eastAsia="zh-CN"/>
        </w:rPr>
        <w:t>东海岛15万m³/d 自来水厂工程</w:t>
      </w:r>
      <w:r>
        <w:rPr>
          <w:rFonts w:ascii="Times New Roman" w:hAnsi="Times New Roman" w:cs="Times New Roman" w:eastAsiaTheme="minorEastAsia"/>
          <w:b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           </w:t>
      </w:r>
    </w:p>
    <w:p>
      <w:pPr>
        <w:spacing w:line="360" w:lineRule="auto"/>
        <w:ind w:left="1680" w:hanging="1680" w:hangingChars="600"/>
        <w:jc w:val="left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 xml:space="preserve">项 目 编 号 </w:t>
      </w:r>
      <w:r>
        <w:rPr>
          <w:rFonts w:hint="eastAsia" w:ascii="Times New Roman" w:hAnsi="Times New Roman" w:eastAsia="黑体" w:cs="Times New Roman"/>
          <w:b/>
          <w:bCs/>
          <w:color w:val="auto"/>
          <w:sz w:val="28"/>
          <w:szCs w:val="28"/>
          <w:u w:val="single"/>
        </w:rPr>
        <w:t xml:space="preserve">  2016-440800-46-01-802184</w:t>
      </w:r>
      <w:r>
        <w:rPr>
          <w:rFonts w:ascii="Times New Roman" w:hAnsi="Times New Roman" w:cs="Times New Roman" w:eastAsiaTheme="minorEastAsia"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           </w:t>
      </w:r>
    </w:p>
    <w:p>
      <w:pPr>
        <w:spacing w:line="360" w:lineRule="auto"/>
        <w:jc w:val="left"/>
        <w:rPr>
          <w:rFonts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sz w:val="28"/>
          <w:szCs w:val="28"/>
        </w:rPr>
        <w:t xml:space="preserve">建 设 地 点 </w:t>
      </w:r>
      <w:r>
        <w:rPr>
          <w:rFonts w:ascii="Times New Roman" w:hAnsi="Times New Roman" w:eastAsia="黑体" w:cs="Times New Roman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u w:val="single"/>
        </w:rPr>
        <w:t>湛江市</w:t>
      </w: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u w:val="single"/>
          <w:lang w:val="en-US" w:eastAsia="zh-CN"/>
        </w:rPr>
        <w:t>东海岛经济技术开发区</w:t>
      </w:r>
      <w:r>
        <w:rPr>
          <w:rFonts w:ascii="Times New Roman" w:hAnsi="Times New Roman" w:eastAsia="黑体" w:cs="Times New Roman"/>
          <w:b/>
          <w:bCs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                   </w:t>
      </w:r>
      <w:r>
        <w:rPr>
          <w:rFonts w:hint="eastAsia" w:ascii="Times New Roman" w:hAnsi="Times New Roman" w:cs="Times New Roman"/>
          <w:b/>
          <w:bCs/>
          <w:sz w:val="28"/>
          <w:szCs w:val="28"/>
          <w:u w:val="single"/>
        </w:rPr>
        <w:t xml:space="preserve">   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      </w:t>
      </w:r>
    </w:p>
    <w:p>
      <w:pPr>
        <w:spacing w:line="360" w:lineRule="auto"/>
        <w:jc w:val="left"/>
        <w:rPr>
          <w:rFonts w:ascii="Times New Roman" w:hAnsi="Times New Roman" w:cs="Times New Roman"/>
          <w:bCs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sz w:val="28"/>
          <w:szCs w:val="28"/>
        </w:rPr>
        <w:t xml:space="preserve">建 设 单 位  </w:t>
      </w: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u w:val="single"/>
          <w:lang w:eastAsia="zh-CN"/>
        </w:rPr>
        <w:t>湛江开发区园区建设投资有限公司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 xml:space="preserve">                                      </w:t>
      </w:r>
    </w:p>
    <w:p>
      <w:pPr>
        <w:spacing w:before="156" w:beforeLines="50" w:after="156" w:afterLines="5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>
      <w:pPr>
        <w:spacing w:before="156" w:beforeLines="50" w:after="156" w:afterLines="5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>
      <w:pPr>
        <w:spacing w:before="156" w:beforeLines="50" w:after="156" w:afterLines="5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>
      <w:pPr>
        <w:spacing w:before="156" w:beforeLines="50" w:after="156" w:afterLines="50"/>
        <w:jc w:val="center"/>
        <w:rPr>
          <w:rFonts w:ascii="Times New Roman" w:hAnsi="Times New Roman" w:eastAsia="楷体_GB2312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202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>1</w:t>
      </w:r>
      <w:r>
        <w:rPr>
          <w:rFonts w:ascii="Times New Roman" w:hAnsi="Times New Roman" w:eastAsia="楷体_GB2312" w:cs="Times New Roman"/>
          <w:sz w:val="28"/>
          <w:szCs w:val="28"/>
        </w:rPr>
        <w:t>年</w:t>
      </w:r>
      <w:r>
        <w:rPr>
          <w:rFonts w:hint="eastAsia" w:ascii="Times New Roman" w:hAnsi="Times New Roman" w:eastAsia="楷体_GB2312" w:cs="Times New Roman"/>
          <w:sz w:val="28"/>
          <w:szCs w:val="28"/>
          <w:u w:val="single"/>
          <w:lang w:val="en-US" w:eastAsia="zh-CN"/>
        </w:rPr>
        <w:t>9</w:t>
      </w:r>
      <w:r>
        <w:rPr>
          <w:rFonts w:ascii="Times New Roman" w:hAnsi="Times New Roman" w:eastAsia="楷体_GB2312" w:cs="Times New Roman"/>
          <w:sz w:val="28"/>
          <w:szCs w:val="28"/>
        </w:rPr>
        <w:t>月</w:t>
      </w:r>
      <w:r>
        <w:rPr>
          <w:rFonts w:hint="eastAsia" w:ascii="Times New Roman" w:hAnsi="Times New Roman" w:eastAsia="楷体_GB2312" w:cs="Times New Roman"/>
          <w:sz w:val="28"/>
          <w:szCs w:val="28"/>
          <w:u w:val="single"/>
          <w:lang w:val="en-US" w:eastAsia="zh-CN"/>
        </w:rPr>
        <w:t>29</w:t>
      </w:r>
      <w:r>
        <w:rPr>
          <w:rFonts w:ascii="Times New Roman" w:hAnsi="Times New Roman" w:eastAsia="楷体_GB2312" w:cs="Times New Roman"/>
          <w:sz w:val="28"/>
          <w:szCs w:val="28"/>
        </w:rPr>
        <w:t>日</w:t>
      </w:r>
    </w:p>
    <w:p>
      <w:pPr>
        <w:spacing w:before="156" w:beforeLines="50" w:after="156" w:afterLines="50"/>
        <w:ind w:firstLine="602" w:firstLineChars="200"/>
        <w:rPr>
          <w:rFonts w:ascii="Times New Roman" w:hAnsi="Times New Roman" w:eastAsia="楷体_GB2312" w:cs="Times New Roman"/>
          <w:b/>
          <w:sz w:val="30"/>
          <w:szCs w:val="3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楷体_GB2312" w:cs="Times New Roman"/>
          <w:b/>
          <w:sz w:val="30"/>
          <w:szCs w:val="30"/>
        </w:rPr>
        <w:br w:type="column"/>
      </w:r>
    </w:p>
    <w:p>
      <w:pPr>
        <w:spacing w:before="156" w:beforeLines="50" w:after="156" w:afterLines="50"/>
        <w:ind w:firstLine="600" w:firstLineChars="200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一、生产建设项目水土保持设施验收基本情况表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0"/>
        <w:gridCol w:w="4303"/>
        <w:gridCol w:w="806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303" w:type="dxa"/>
            <w:vAlign w:val="center"/>
          </w:tcPr>
          <w:p>
            <w:pPr>
              <w:ind w:left="120" w:leftChars="57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东海岛15万m³/d 自来水厂工程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行业类别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供水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主管部门</w:t>
            </w:r>
          </w:p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（或主要投资方）</w:t>
            </w:r>
          </w:p>
        </w:tc>
        <w:tc>
          <w:tcPr>
            <w:tcW w:w="4303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湛江开发区园区建设投资有限公司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项目性质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水土保持方案批复机关、文号及时间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湛江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市水务局，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湛水水保安监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﹝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﹞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号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，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年3月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22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日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水土保持方案变更批复机关、文号及时间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水土保持初步设计批复机关、文号及时间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项目建设起止时间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ind w:left="120" w:leftChars="57" w:right="120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月-20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水土保持方案编制单位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ind w:left="120" w:leftChars="57" w:right="12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深圳鹏达信能源环保科技有限公司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水土保持初步设计单位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ind w:left="120" w:leftChars="57" w:right="12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北京市市政工程设计研究总院有限公司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水土保持监测单位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ind w:left="120" w:leftChars="57" w:right="12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广东环晟水利环境科技有限公司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水土保持施工单位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ind w:left="120" w:leftChars="57" w:right="12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北京市政建设集团有限责任公司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水土保持监理单位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ind w:left="120" w:leftChars="57" w:right="12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广州市市政工程监理有限公司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  <w:jc w:val="center"/>
        </w:trPr>
        <w:tc>
          <w:tcPr>
            <w:tcW w:w="2780" w:type="dxa"/>
            <w:vAlign w:val="center"/>
          </w:tcPr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水土保持设施验收</w:t>
            </w:r>
          </w:p>
          <w:p>
            <w:pPr>
              <w:ind w:left="120" w:leftChars="57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报告编制单位</w:t>
            </w:r>
          </w:p>
        </w:tc>
        <w:tc>
          <w:tcPr>
            <w:tcW w:w="6135" w:type="dxa"/>
            <w:gridSpan w:val="3"/>
            <w:vAlign w:val="center"/>
          </w:tcPr>
          <w:p>
            <w:pPr>
              <w:ind w:left="120" w:right="120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广东环晟水利环境科技有限公司</w:t>
            </w:r>
          </w:p>
        </w:tc>
      </w:tr>
    </w:tbl>
    <w:p>
      <w:pPr>
        <w:ind w:firstLine="60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sz w:val="30"/>
          <w:szCs w:val="30"/>
        </w:rPr>
        <w:t>二、验收意见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4" w:hRule="atLeast"/>
          <w:jc w:val="center"/>
        </w:trPr>
        <w:tc>
          <w:tcPr>
            <w:tcW w:w="88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29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湛江开发区园区建设投资有限公司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（以下简称“我单位”）在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湛江市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组织召开了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东海岛15万m³/d 自来水厂工程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水土保持设施验收会。参加会议的有：水土保持设施验收报告编制、水土保持监测单位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广东环晟水利环境科技有限公司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，水土保持方案编制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深圳鹏达信能源环保科技有限公司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主体设计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北京市市政工程设计研究总院有限公司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，水土保持设施施工单位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广东九洲建设集团有限公司，广东新拓展建筑工程有限公司，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水土保持监理单位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广州市市政工程监理有限公司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及专家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等代表共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人，会议成立了验收组（名单附后）。验收组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通过现场勘察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，查阅了验收技术资料，听取了关于水土保持工作情况的汇报，监测单位关于水土保持监测工作情况的汇报，水土保持设施验收报告编制单位关于水土保持验收工作情况的汇报，以及方案编制、工程设计、监理、施工单位的补充说明，形成验收意见如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55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项目概况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东海岛15万m³/d 自来水厂工程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位于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湛江市东海岛东山镇调伦村东海大道以北、什足河以东、规划东成大道以南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项目红线总占地面积10.03hm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，其中一期建设用地面积7.49hm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，预留用地面积2.54hm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，预留用地将用于二期开发。总建筑面积40300 m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，构建筑物占地面积36730 m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，建筑容积率21.7%，建筑密度19.83%，绿化率57%。包括水处理构筑物、泥线构筑物和辅助生产构筑物三部分，建设内容主要包括提升泵站 1 座、高锰酸钾、粉末活性炭间一座、混合絮凝平流沉淀池 1 座、均粒滤料砂滤池 1 座、砂滤池冲洗泵房 1座、清水池 2 座、二级泵房 1 座、综合加药间 1 座、反冲洗废水调节池 1座、反冲洗废水浓缩池 2 座、污泥平衡池 2 座和污泥脱水车间 1 座，管理中心1座，门卫室1座等工程内容。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工程于201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月开工，20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年1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月完工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，总投资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4.32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亿元，其中土建投资为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2.88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亿元。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（二）水土保持方案批复情况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2017年3月22日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湛江市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水务局以“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湛水水保安监﹝2017﹞22号</w:t>
            </w: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</w:rPr>
              <w:t>”《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关于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东海岛15万m³/d 自来水厂工程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</w:rPr>
              <w:t>水土保持方案报告书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的批复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》对本项目水土保持方案予以批复。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（三）水土保持初步设计或施工图设计情况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由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  <w:t>北京市市政工程设计研究总院有限公司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承担本项目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水土保持初步设计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及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施工图设计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设计通过了相关部门的审批。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（四）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水土保持监测情况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19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月，我单位委托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广东环晟水利环境科技有限公司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开展本项目水土保持监测工作，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2020年1~12月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水土保持监测单位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提交了各季度的监测季报 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月，水土保持监测单位提交了《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东海岛15万m³/d 自来水厂工程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水土保持监测总结报告》。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55"/>
              <w:textAlignment w:val="auto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水土保持监测主要结论为：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highlight w:val="none"/>
              </w:rPr>
              <w:t>建设单位基本落实了水土保持方案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  <w:t>及相关要求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highlight w:val="none"/>
              </w:rPr>
              <w:t>，水土保持措施布局合理，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  <w:t>完成了水土流失防治任务，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highlight w:val="none"/>
              </w:rPr>
              <w:t>有效地控制了水土流失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  <w:t>水土流失六项防治指标均达到方案批复要求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  <w:highlight w:val="none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（五）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验收报告编制情况和主要结论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bidi="ar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月，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建设单位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委托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 w:bidi="ar"/>
              </w:rPr>
              <w:t>广东环晟水利环境科技有限公司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开展本项目水土保持设施验收工作。202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月，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 w:bidi="ar"/>
              </w:rPr>
              <w:t>广东环晟水利环境科技有限公司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编制完成了《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东海岛15万m³/d 自来水厂工程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 xml:space="preserve">水土保持设施验收报告》。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55"/>
              <w:textAlignment w:val="auto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水土保持设施验收报告结论为：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东海岛15万m³/d 自来水厂工程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依法履行了水土保持方案编报程序，开展了水土保持监测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监理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，水土保持措施体系基本按经批准的水土保持方案</w:t>
            </w: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和工程设计的要求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落实，</w:t>
            </w: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工程质量总体合格，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水土流失防治指标达到了批复要求</w:t>
            </w:r>
            <w:r>
              <w:rPr>
                <w:rFonts w:eastAsia="仿宋_GB2312"/>
                <w:color w:val="000000"/>
                <w:sz w:val="24"/>
                <w:szCs w:val="24"/>
              </w:rPr>
              <w:t>，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建成的水土保持设施符合水土保持设施验收条件。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（六）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验收结论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东海岛15万m³/d 自来水厂工程</w:t>
            </w:r>
            <w:r>
              <w:rPr>
                <w:rFonts w:eastAsia="仿宋_GB2312"/>
                <w:color w:val="000000"/>
                <w:sz w:val="24"/>
                <w:szCs w:val="24"/>
              </w:rPr>
              <w:t>依法履行了水土保持方案的编报程序，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开展了后续设计和</w:t>
            </w:r>
            <w:r>
              <w:rPr>
                <w:rFonts w:eastAsia="仿宋_GB2312"/>
                <w:color w:val="000000"/>
                <w:sz w:val="24"/>
                <w:szCs w:val="24"/>
              </w:rPr>
              <w:t>水土保持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监理、</w:t>
            </w:r>
            <w:r>
              <w:rPr>
                <w:rFonts w:eastAsia="仿宋_GB2312"/>
                <w:color w:val="000000"/>
                <w:sz w:val="24"/>
                <w:szCs w:val="24"/>
              </w:rPr>
              <w:t>监测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工作</w:t>
            </w:r>
            <w:r>
              <w:rPr>
                <w:rFonts w:eastAsia="仿宋_GB2312"/>
                <w:color w:val="000000"/>
                <w:sz w:val="24"/>
                <w:szCs w:val="24"/>
              </w:rPr>
              <w:t>，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依法缴纳了水土保持补偿费，水土流失防治任务及</w:t>
            </w:r>
            <w:r>
              <w:rPr>
                <w:rFonts w:eastAsia="仿宋_GB2312"/>
                <w:color w:val="000000"/>
                <w:sz w:val="24"/>
                <w:szCs w:val="24"/>
              </w:rPr>
              <w:t>水土保持措施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基本落实到位</w:t>
            </w:r>
            <w:r>
              <w:rPr>
                <w:rFonts w:eastAsia="仿宋_GB2312"/>
                <w:color w:val="000000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highlight w:val="none"/>
                <w:lang w:val="en-US" w:eastAsia="zh-CN"/>
              </w:rPr>
              <w:t>水土流失六项防治指标均达到方案批复要求</w:t>
            </w: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，工程质量总体合格，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建成的水土保持设施符合水土保持设施验收条件，</w:t>
            </w:r>
            <w:r>
              <w:rPr>
                <w:rFonts w:eastAsia="仿宋_GB2312"/>
                <w:color w:val="000000"/>
                <w:sz w:val="24"/>
                <w:szCs w:val="24"/>
              </w:rPr>
              <w:t>同意</w:t>
            </w:r>
            <w:r>
              <w:rPr>
                <w:rFonts w:hint="eastAsia" w:eastAsia="仿宋_GB2312"/>
                <w:color w:val="000000"/>
                <w:sz w:val="24"/>
                <w:szCs w:val="24"/>
              </w:rPr>
              <w:t>该项目</w:t>
            </w:r>
            <w:r>
              <w:rPr>
                <w:rFonts w:eastAsia="仿宋_GB2312"/>
                <w:color w:val="000000"/>
                <w:sz w:val="24"/>
                <w:szCs w:val="24"/>
              </w:rPr>
              <w:t>水土保持设施通过验收。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（七）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后续管护要求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bidi="ar"/>
              </w:rPr>
              <w:t>加强水土保持设施管护，确保其正常运行和发挥效益。</w:t>
            </w:r>
          </w:p>
        </w:tc>
      </w:tr>
    </w:tbl>
    <w:p/>
    <w:p>
      <w:pPr>
        <w:pStyle w:val="2"/>
      </w:pPr>
    </w:p>
    <w:tbl>
      <w:tblPr>
        <w:tblStyle w:val="14"/>
        <w:tblpPr w:leftFromText="180" w:rightFromText="180" w:vertAnchor="page" w:horzAnchor="page" w:tblpX="1531" w:tblpY="2307"/>
        <w:tblOverlap w:val="never"/>
        <w:tblW w:w="536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6" w:type="dxa"/>
          <w:bottom w:w="0" w:type="dxa"/>
          <w:right w:w="6" w:type="dxa"/>
        </w:tblCellMar>
      </w:tblPr>
      <w:tblGrid>
        <w:gridCol w:w="810"/>
        <w:gridCol w:w="1151"/>
        <w:gridCol w:w="2990"/>
        <w:gridCol w:w="1199"/>
        <w:gridCol w:w="1283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943" w:hRule="atLeast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分  工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  名</w:t>
            </w: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单  位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职务/职称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签  字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58" w:hRule="atLeast"/>
        </w:trPr>
        <w:tc>
          <w:tcPr>
            <w:tcW w:w="4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组  长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湛江开发区园区建设投资有限公司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建设单位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43" w:hRule="atLeast"/>
        </w:trPr>
        <w:tc>
          <w:tcPr>
            <w:tcW w:w="45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成</w:t>
            </w:r>
          </w:p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员</w:t>
            </w: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湛江开发区园区建设投资有限公司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建设单位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58" w:hRule="atLeast"/>
        </w:trPr>
        <w:tc>
          <w:tcPr>
            <w:tcW w:w="45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北京市市政工程设计研究总院有限公司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设计负责人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设计单位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43" w:hRule="atLeast"/>
        </w:trPr>
        <w:tc>
          <w:tcPr>
            <w:tcW w:w="454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广州市市政工程监理有限公司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总监代表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监理单位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43" w:hRule="atLeast"/>
        </w:trPr>
        <w:tc>
          <w:tcPr>
            <w:tcW w:w="454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北京市政建设集团有限责任公司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现场负责人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施工单位</w:t>
            </w:r>
          </w:p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68" w:hRule="atLeast"/>
        </w:trPr>
        <w:tc>
          <w:tcPr>
            <w:tcW w:w="454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深圳鹏达信能源环保科技有限公司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技术负责人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水土保持方案编制单位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68" w:hRule="atLeast"/>
        </w:trPr>
        <w:tc>
          <w:tcPr>
            <w:tcW w:w="454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王凤飞</w:t>
            </w: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广东环晟水利环境科技有限公司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经理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水土保持验收单位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68" w:hRule="atLeast"/>
        </w:trPr>
        <w:tc>
          <w:tcPr>
            <w:tcW w:w="454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陆玲</w:t>
            </w: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广东环晟水利环境科技有限公司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水土保持监测单位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868" w:hRule="atLeast"/>
        </w:trPr>
        <w:tc>
          <w:tcPr>
            <w:tcW w:w="454" w:type="pct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郑恩众</w:t>
            </w:r>
          </w:p>
        </w:tc>
        <w:tc>
          <w:tcPr>
            <w:tcW w:w="1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湛江市鉴江水利枢纽管理处</w:t>
            </w:r>
          </w:p>
        </w:tc>
        <w:tc>
          <w:tcPr>
            <w:tcW w:w="6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高级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20" w:leftChars="57" w:right="12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专家</w:t>
            </w:r>
          </w:p>
        </w:tc>
      </w:tr>
    </w:tbl>
    <w:p>
      <w:pPr>
        <w:ind w:firstLine="600" w:firstLineChars="200"/>
        <w:rPr>
          <w:rFonts w:ascii="Times New Roman" w:hAnsi="Times New Roman" w:eastAsia="黑体" w:cs="Times New Roman"/>
          <w:sz w:val="30"/>
          <w:szCs w:val="30"/>
        </w:rPr>
      </w:pPr>
      <w:bookmarkStart w:id="0" w:name="_GoBack"/>
      <w:r>
        <w:rPr>
          <w:rFonts w:hint="eastAsia" w:ascii="Times New Roman" w:hAnsi="Times New Roman" w:eastAsia="黑体" w:cs="Times New Roman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-1133475</wp:posOffset>
            </wp:positionH>
            <wp:positionV relativeFrom="paragraph">
              <wp:posOffset>-893445</wp:posOffset>
            </wp:positionV>
            <wp:extent cx="7550150" cy="10671175"/>
            <wp:effectExtent l="0" t="0" r="12700" b="15875"/>
            <wp:wrapNone/>
            <wp:docPr id="2" name="图片 2" descr="MX-M503N_20211026_095946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X-M503N_20211026_095946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Times New Roman" w:hAnsi="Times New Roman" w:eastAsia="黑体" w:cs="Times New Roman"/>
          <w:sz w:val="30"/>
          <w:szCs w:val="30"/>
        </w:rPr>
        <w:t>三、验收组成员签字表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953883"/>
    <w:multiLevelType w:val="singleLevel"/>
    <w:tmpl w:val="3E95388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41853"/>
    <w:rsid w:val="00097331"/>
    <w:rsid w:val="00224FC7"/>
    <w:rsid w:val="003472B0"/>
    <w:rsid w:val="00637466"/>
    <w:rsid w:val="006B04C5"/>
    <w:rsid w:val="009A4FC8"/>
    <w:rsid w:val="00FE05E5"/>
    <w:rsid w:val="01786933"/>
    <w:rsid w:val="03B57070"/>
    <w:rsid w:val="04611327"/>
    <w:rsid w:val="0553759B"/>
    <w:rsid w:val="05FA0F6C"/>
    <w:rsid w:val="068B30BE"/>
    <w:rsid w:val="07B67B11"/>
    <w:rsid w:val="09F36B66"/>
    <w:rsid w:val="0B5347A8"/>
    <w:rsid w:val="0EB01D0E"/>
    <w:rsid w:val="0F2B1F90"/>
    <w:rsid w:val="1064116A"/>
    <w:rsid w:val="10D818E2"/>
    <w:rsid w:val="110D2FBD"/>
    <w:rsid w:val="11963E88"/>
    <w:rsid w:val="12136844"/>
    <w:rsid w:val="14A76888"/>
    <w:rsid w:val="15B309A5"/>
    <w:rsid w:val="16413ABD"/>
    <w:rsid w:val="19353522"/>
    <w:rsid w:val="19A571D7"/>
    <w:rsid w:val="19CA51F8"/>
    <w:rsid w:val="1A310A5E"/>
    <w:rsid w:val="1BA04B08"/>
    <w:rsid w:val="1FB82875"/>
    <w:rsid w:val="201E2C42"/>
    <w:rsid w:val="20D82EB9"/>
    <w:rsid w:val="236B5EC5"/>
    <w:rsid w:val="28886D82"/>
    <w:rsid w:val="2E6B78BD"/>
    <w:rsid w:val="2F3440E0"/>
    <w:rsid w:val="34EB5C15"/>
    <w:rsid w:val="35222471"/>
    <w:rsid w:val="355A3564"/>
    <w:rsid w:val="36777AE0"/>
    <w:rsid w:val="37821CE8"/>
    <w:rsid w:val="38EB712C"/>
    <w:rsid w:val="3F8E3AE6"/>
    <w:rsid w:val="3FA1558B"/>
    <w:rsid w:val="40043FD2"/>
    <w:rsid w:val="415F3E3B"/>
    <w:rsid w:val="42166F71"/>
    <w:rsid w:val="43D656FF"/>
    <w:rsid w:val="459D7433"/>
    <w:rsid w:val="464A07FE"/>
    <w:rsid w:val="476F0BDF"/>
    <w:rsid w:val="48106643"/>
    <w:rsid w:val="48276054"/>
    <w:rsid w:val="482C4535"/>
    <w:rsid w:val="4A5E37BA"/>
    <w:rsid w:val="4B4E5F6E"/>
    <w:rsid w:val="4CAF7D24"/>
    <w:rsid w:val="4D6A2040"/>
    <w:rsid w:val="4E075B78"/>
    <w:rsid w:val="4F4541DB"/>
    <w:rsid w:val="507A2B6A"/>
    <w:rsid w:val="50922A5E"/>
    <w:rsid w:val="52FC0F87"/>
    <w:rsid w:val="53841853"/>
    <w:rsid w:val="562C0532"/>
    <w:rsid w:val="563F2CAD"/>
    <w:rsid w:val="58CA69A7"/>
    <w:rsid w:val="59606127"/>
    <w:rsid w:val="5AD60E5C"/>
    <w:rsid w:val="5DD30148"/>
    <w:rsid w:val="5E6A3905"/>
    <w:rsid w:val="60D66104"/>
    <w:rsid w:val="61C409ED"/>
    <w:rsid w:val="62AE7BDE"/>
    <w:rsid w:val="641B61E7"/>
    <w:rsid w:val="6AFD0B7B"/>
    <w:rsid w:val="6C9D3DF9"/>
    <w:rsid w:val="6DA250CB"/>
    <w:rsid w:val="6ED2624D"/>
    <w:rsid w:val="6FAD3712"/>
    <w:rsid w:val="72021B9E"/>
    <w:rsid w:val="723632A8"/>
    <w:rsid w:val="72456CEA"/>
    <w:rsid w:val="74735B36"/>
    <w:rsid w:val="74BF3335"/>
    <w:rsid w:val="75DB603E"/>
    <w:rsid w:val="76B258C1"/>
    <w:rsid w:val="77500A57"/>
    <w:rsid w:val="797B676C"/>
    <w:rsid w:val="7D2732B4"/>
    <w:rsid w:val="7DBC5364"/>
    <w:rsid w:val="7F76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keepNext/>
      <w:keepLines/>
      <w:snapToGrid w:val="0"/>
      <w:spacing w:before="340" w:after="240" w:line="360" w:lineRule="auto"/>
      <w:jc w:val="center"/>
      <w:outlineLvl w:val="0"/>
    </w:pPr>
    <w:rPr>
      <w:rFonts w:ascii="Times New Roman" w:hAnsi="Times New Roman" w:eastAsia="仿宋_GB2312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semiHidden/>
    <w:unhideWhenUsed/>
    <w:qFormat/>
    <w:uiPriority w:val="0"/>
    <w:pPr>
      <w:snapToGrid w:val="0"/>
      <w:spacing w:line="360" w:lineRule="auto"/>
      <w:jc w:val="left"/>
      <w:outlineLvl w:val="1"/>
    </w:pPr>
    <w:rPr>
      <w:rFonts w:ascii="Times New Roman" w:hAnsi="Times New Roman" w:eastAsia="仿宋_GB2312"/>
      <w:b/>
      <w:sz w:val="32"/>
      <w:szCs w:val="20"/>
    </w:rPr>
  </w:style>
  <w:style w:type="paragraph" w:styleId="5">
    <w:name w:val="heading 3"/>
    <w:basedOn w:val="1"/>
    <w:next w:val="1"/>
    <w:link w:val="18"/>
    <w:semiHidden/>
    <w:unhideWhenUsed/>
    <w:qFormat/>
    <w:uiPriority w:val="0"/>
    <w:pPr>
      <w:keepNext/>
      <w:keepLines/>
      <w:snapToGrid w:val="0"/>
      <w:spacing w:line="360" w:lineRule="auto"/>
      <w:jc w:val="left"/>
      <w:outlineLvl w:val="2"/>
    </w:pPr>
    <w:rPr>
      <w:rFonts w:ascii="Times New Roman" w:hAnsi="Times New Roman" w:eastAsia="仿宋_GB2312"/>
      <w:b/>
      <w:bCs/>
      <w:sz w:val="28"/>
      <w:szCs w:val="32"/>
    </w:rPr>
  </w:style>
  <w:style w:type="paragraph" w:styleId="6">
    <w:name w:val="heading 4"/>
    <w:basedOn w:val="1"/>
    <w:next w:val="1"/>
    <w:link w:val="21"/>
    <w:semiHidden/>
    <w:unhideWhenUsed/>
    <w:qFormat/>
    <w:uiPriority w:val="0"/>
    <w:pPr>
      <w:adjustRightInd w:val="0"/>
      <w:snapToGrid w:val="0"/>
      <w:spacing w:line="360" w:lineRule="auto"/>
      <w:outlineLvl w:val="3"/>
    </w:pPr>
    <w:rPr>
      <w:rFonts w:ascii="Times New Roman" w:hAnsi="Times New Roman"/>
      <w:b/>
      <w:szCs w:val="20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spacing w:line="360" w:lineRule="auto"/>
      <w:jc w:val="left"/>
      <w:outlineLvl w:val="4"/>
    </w:pPr>
    <w:rPr>
      <w:rFonts w:ascii="Times New Roman" w:hAnsi="Times New Roman" w:eastAsia="仿宋"/>
      <w:b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宋体 小四 行距: 1.5 倍行距"/>
    <w:basedOn w:val="1"/>
    <w:qFormat/>
    <w:uiPriority w:val="0"/>
    <w:rPr>
      <w:rFonts w:ascii="宋体" w:hAnsi="宋体" w:eastAsia="宋体" w:cs="宋体"/>
      <w:sz w:val="28"/>
    </w:rPr>
  </w:style>
  <w:style w:type="paragraph" w:styleId="8">
    <w:name w:val="caption"/>
    <w:basedOn w:val="1"/>
    <w:next w:val="1"/>
    <w:link w:val="24"/>
    <w:semiHidden/>
    <w:unhideWhenUsed/>
    <w:qFormat/>
    <w:uiPriority w:val="0"/>
    <w:pPr>
      <w:spacing w:before="120" w:after="120"/>
      <w:jc w:val="center"/>
    </w:pPr>
    <w:rPr>
      <w:rFonts w:ascii="Times New Roman" w:hAnsi="Times New Roman"/>
      <w:snapToGrid w:val="0"/>
    </w:rPr>
  </w:style>
  <w:style w:type="paragraph" w:styleId="9">
    <w:name w:val="annotation text"/>
    <w:basedOn w:val="1"/>
    <w:link w:val="27"/>
    <w:qFormat/>
    <w:uiPriority w:val="0"/>
    <w:pPr>
      <w:jc w:val="left"/>
    </w:pPr>
  </w:style>
  <w:style w:type="paragraph" w:styleId="10">
    <w:name w:val="Balloon Text"/>
    <w:basedOn w:val="1"/>
    <w:link w:val="29"/>
    <w:qFormat/>
    <w:uiPriority w:val="0"/>
    <w:rPr>
      <w:sz w:val="18"/>
      <w:szCs w:val="18"/>
    </w:rPr>
  </w:style>
  <w:style w:type="paragraph" w:styleId="11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annotation subject"/>
    <w:basedOn w:val="9"/>
    <w:next w:val="9"/>
    <w:link w:val="28"/>
    <w:qFormat/>
    <w:uiPriority w:val="0"/>
    <w:rPr>
      <w:b/>
      <w:bCs/>
    </w:rPr>
  </w:style>
  <w:style w:type="character" w:styleId="16">
    <w:name w:val="annotation reference"/>
    <w:basedOn w:val="15"/>
    <w:qFormat/>
    <w:uiPriority w:val="0"/>
    <w:rPr>
      <w:sz w:val="21"/>
      <w:szCs w:val="21"/>
    </w:rPr>
  </w:style>
  <w:style w:type="paragraph" w:customStyle="1" w:styleId="17">
    <w:name w:val="水保表格"/>
    <w:next w:val="1"/>
    <w:qFormat/>
    <w:uiPriority w:val="0"/>
    <w:pPr>
      <w:jc w:val="center"/>
    </w:pPr>
    <w:rPr>
      <w:rFonts w:ascii="Times New Roman" w:hAnsi="Times New Roman" w:eastAsia="仿宋_GB2312" w:cstheme="minorBidi"/>
      <w:sz w:val="21"/>
      <w:lang w:val="en-US" w:eastAsia="zh-CN" w:bidi="ar-SA"/>
    </w:rPr>
  </w:style>
  <w:style w:type="character" w:customStyle="1" w:styleId="18">
    <w:name w:val="标题 3 Char"/>
    <w:link w:val="5"/>
    <w:qFormat/>
    <w:uiPriority w:val="0"/>
    <w:rPr>
      <w:rFonts w:ascii="Times New Roman" w:hAnsi="Times New Roman" w:eastAsia="仿宋_GB2312"/>
      <w:b/>
      <w:bCs/>
      <w:kern w:val="2"/>
      <w:sz w:val="28"/>
      <w:szCs w:val="32"/>
      <w:lang w:val="en-US" w:eastAsia="zh-CN" w:bidi="ar-SA"/>
    </w:rPr>
  </w:style>
  <w:style w:type="character" w:customStyle="1" w:styleId="19">
    <w:name w:val="标题 2 Char"/>
    <w:link w:val="4"/>
    <w:qFormat/>
    <w:uiPriority w:val="0"/>
    <w:rPr>
      <w:rFonts w:ascii="Times New Roman" w:hAnsi="Times New Roman" w:eastAsia="仿宋_GB2312"/>
      <w:b/>
      <w:kern w:val="2"/>
      <w:sz w:val="32"/>
      <w:lang w:val="en-US" w:eastAsia="zh-CN" w:bidi="ar-SA"/>
    </w:rPr>
  </w:style>
  <w:style w:type="character" w:customStyle="1" w:styleId="20">
    <w:name w:val="标题 1 Char"/>
    <w:link w:val="3"/>
    <w:qFormat/>
    <w:uiPriority w:val="0"/>
    <w:rPr>
      <w:rFonts w:ascii="Times New Roman" w:hAnsi="Times New Roman" w:eastAsia="仿宋_GB2312"/>
      <w:b/>
      <w:bCs/>
      <w:kern w:val="44"/>
      <w:sz w:val="44"/>
      <w:szCs w:val="44"/>
      <w:lang w:val="en-US" w:eastAsia="zh-CN" w:bidi="ar-SA"/>
    </w:rPr>
  </w:style>
  <w:style w:type="character" w:customStyle="1" w:styleId="21">
    <w:name w:val="标题 4 Char"/>
    <w:link w:val="6"/>
    <w:qFormat/>
    <w:uiPriority w:val="0"/>
    <w:rPr>
      <w:rFonts w:ascii="Times New Roman" w:hAnsi="Times New Roman" w:eastAsia="仿宋"/>
      <w:b/>
      <w:kern w:val="2"/>
      <w:sz w:val="24"/>
    </w:rPr>
  </w:style>
  <w:style w:type="paragraph" w:customStyle="1" w:styleId="22">
    <w:name w:val="表格"/>
    <w:basedOn w:val="1"/>
    <w:qFormat/>
    <w:uiPriority w:val="0"/>
    <w:pPr>
      <w:suppressAutoHyphens/>
      <w:jc w:val="center"/>
    </w:pPr>
    <w:rPr>
      <w:rFonts w:ascii="Times New Roman" w:hAnsi="Times New Roman" w:eastAsia="仿宋_GB2312"/>
      <w:snapToGrid w:val="0"/>
      <w:szCs w:val="21"/>
      <w:lang w:eastAsia="ar-SA"/>
    </w:rPr>
  </w:style>
  <w:style w:type="paragraph" w:customStyle="1" w:styleId="23">
    <w:name w:val="水保-表格"/>
    <w:basedOn w:val="1"/>
    <w:qFormat/>
    <w:uiPriority w:val="0"/>
    <w:pPr>
      <w:adjustRightInd w:val="0"/>
      <w:snapToGrid w:val="0"/>
      <w:jc w:val="center"/>
    </w:pPr>
    <w:rPr>
      <w:rFonts w:ascii="Times New Roman" w:hAnsi="Times New Roman" w:eastAsia="仿宋_GB2312"/>
      <w:sz w:val="24"/>
    </w:rPr>
  </w:style>
  <w:style w:type="character" w:customStyle="1" w:styleId="24">
    <w:name w:val="题注 Char"/>
    <w:link w:val="8"/>
    <w:qFormat/>
    <w:uiPriority w:val="0"/>
    <w:rPr>
      <w:rFonts w:ascii="Times New Roman" w:hAnsi="Times New Roman" w:eastAsia="仿宋_GB2312"/>
      <w:snapToGrid w:val="0"/>
      <w:sz w:val="24"/>
    </w:rPr>
  </w:style>
  <w:style w:type="character" w:customStyle="1" w:styleId="25">
    <w:name w:val="页眉 Char"/>
    <w:basedOn w:val="15"/>
    <w:link w:val="12"/>
    <w:qFormat/>
    <w:uiPriority w:val="0"/>
    <w:rPr>
      <w:rFonts w:ascii="等线" w:hAnsi="等线" w:eastAsia="等线" w:cs="黑体"/>
      <w:kern w:val="2"/>
      <w:sz w:val="18"/>
      <w:szCs w:val="18"/>
    </w:rPr>
  </w:style>
  <w:style w:type="character" w:customStyle="1" w:styleId="26">
    <w:name w:val="页脚 Char"/>
    <w:basedOn w:val="15"/>
    <w:link w:val="11"/>
    <w:qFormat/>
    <w:uiPriority w:val="0"/>
    <w:rPr>
      <w:rFonts w:ascii="等线" w:hAnsi="等线" w:eastAsia="等线" w:cs="黑体"/>
      <w:kern w:val="2"/>
      <w:sz w:val="18"/>
      <w:szCs w:val="18"/>
    </w:rPr>
  </w:style>
  <w:style w:type="character" w:customStyle="1" w:styleId="27">
    <w:name w:val="批注文字 Char"/>
    <w:basedOn w:val="15"/>
    <w:link w:val="9"/>
    <w:qFormat/>
    <w:uiPriority w:val="0"/>
    <w:rPr>
      <w:rFonts w:ascii="等线" w:hAnsi="等线" w:eastAsia="等线" w:cs="黑体"/>
      <w:kern w:val="2"/>
      <w:sz w:val="21"/>
      <w:szCs w:val="22"/>
    </w:rPr>
  </w:style>
  <w:style w:type="character" w:customStyle="1" w:styleId="28">
    <w:name w:val="批注主题 Char"/>
    <w:basedOn w:val="27"/>
    <w:link w:val="13"/>
    <w:qFormat/>
    <w:uiPriority w:val="0"/>
    <w:rPr>
      <w:rFonts w:ascii="等线" w:hAnsi="等线" w:eastAsia="等线" w:cs="黑体"/>
      <w:b/>
      <w:bCs/>
      <w:kern w:val="2"/>
      <w:sz w:val="21"/>
      <w:szCs w:val="22"/>
    </w:rPr>
  </w:style>
  <w:style w:type="character" w:customStyle="1" w:styleId="29">
    <w:name w:val="批注框文本 Char"/>
    <w:basedOn w:val="15"/>
    <w:link w:val="10"/>
    <w:qFormat/>
    <w:uiPriority w:val="0"/>
    <w:rPr>
      <w:rFonts w:ascii="等线" w:hAnsi="等线" w:eastAsia="等线" w:cs="黑体"/>
      <w:kern w:val="2"/>
      <w:sz w:val="18"/>
      <w:szCs w:val="18"/>
    </w:rPr>
  </w:style>
  <w:style w:type="paragraph" w:customStyle="1" w:styleId="30">
    <w:name w:val="正文29"/>
    <w:basedOn w:val="1"/>
    <w:qFormat/>
    <w:uiPriority w:val="0"/>
    <w:pPr>
      <w:overflowPunct w:val="0"/>
      <w:topLinePunct/>
      <w:snapToGrid w:val="0"/>
      <w:spacing w:line="360" w:lineRule="auto"/>
      <w:ind w:firstLine="480" w:firstLineChars="200"/>
    </w:pPr>
    <w:rPr>
      <w:rFonts w:ascii="Times New Roman" w:hAnsi="Times New Roman" w:eastAsia="仿宋_GB2312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2106</Words>
  <Characters>2269</Characters>
  <Lines>18</Lines>
  <Paragraphs>5</Paragraphs>
  <TotalTime>6</TotalTime>
  <ScaleCrop>false</ScaleCrop>
  <LinksUpToDate>false</LinksUpToDate>
  <CharactersWithSpaces>2470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2020-04-07T01:00:00Z</dcterms:created>
  <dc:creator>王燕</dc:creator>
  <cp:lastModifiedBy>Administrator</cp:lastModifiedBy>
  <cp:lastPrinted>2021-09-27T23:32:00Z</cp:lastPrinted>
  <dcterms:modified xsi:type="dcterms:W3CDTF">2021-10-26T01:28:57Z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B7C6BC6F4816431184E0B8753118B5B7</vt:lpwstr>
  </property>
</Properties>
</file>