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4ECE3F">
      <w:pPr>
        <w:rPr>
          <w:rFonts w:hint="default" w:ascii="Times New Roman" w:hAnsi="Times New Roman" w:eastAsia="宋体" w:cs="Times New Roman"/>
          <w:color w:val="auto"/>
          <w:sz w:val="36"/>
          <w:szCs w:val="36"/>
        </w:rPr>
      </w:pPr>
      <w:r>
        <w:rPr>
          <w:rFonts w:hint="default" w:ascii="Times New Roman" w:hAnsi="Times New Roman" w:eastAsia="宋体" w:cs="Times New Roman"/>
          <w:color w:val="auto"/>
          <w:sz w:val="36"/>
          <w:szCs w:val="36"/>
        </w:rPr>
        <w:t xml:space="preserve"> </w:t>
      </w:r>
    </w:p>
    <w:p w14:paraId="6BBA128C">
      <w:pPr>
        <w:rPr>
          <w:rFonts w:hint="default" w:ascii="Times New Roman" w:hAnsi="Times New Roman" w:eastAsia="宋体" w:cs="Times New Roman"/>
          <w:color w:val="auto"/>
          <w:sz w:val="36"/>
          <w:szCs w:val="36"/>
        </w:rPr>
      </w:pPr>
    </w:p>
    <w:p w14:paraId="4FD8AF9C">
      <w:pPr>
        <w:rPr>
          <w:rFonts w:hint="default" w:ascii="Times New Roman" w:hAnsi="Times New Roman" w:eastAsia="宋体" w:cs="Times New Roman"/>
          <w:color w:val="auto"/>
          <w:sz w:val="36"/>
          <w:szCs w:val="36"/>
        </w:rPr>
      </w:pPr>
    </w:p>
    <w:p w14:paraId="6167EC17">
      <w:pPr>
        <w:rPr>
          <w:rFonts w:hint="default" w:ascii="Times New Roman" w:hAnsi="Times New Roman" w:eastAsia="宋体" w:cs="Times New Roman"/>
          <w:color w:val="auto"/>
          <w:sz w:val="36"/>
          <w:szCs w:val="36"/>
        </w:rPr>
      </w:pPr>
    </w:p>
    <w:p w14:paraId="46B9B776">
      <w:pPr>
        <w:rPr>
          <w:rFonts w:hint="default" w:ascii="Times New Roman" w:hAnsi="Times New Roman" w:eastAsia="宋体" w:cs="Times New Roman"/>
          <w:color w:val="auto"/>
          <w:sz w:val="36"/>
          <w:szCs w:val="36"/>
        </w:rPr>
      </w:pPr>
    </w:p>
    <w:p w14:paraId="1A59B33C">
      <w:pPr>
        <w:adjustRightInd w:val="0"/>
        <w:snapToGrid w:val="0"/>
        <w:jc w:val="center"/>
        <w:outlineLvl w:val="9"/>
        <w:rPr>
          <w:rFonts w:hint="default" w:ascii="Times New Roman" w:hAnsi="Times New Roman" w:eastAsia="宋体" w:cs="Times New Roman"/>
          <w:bCs/>
          <w:color w:val="auto"/>
          <w:sz w:val="72"/>
          <w:szCs w:val="72"/>
        </w:rPr>
      </w:pPr>
      <w:bookmarkStart w:id="0" w:name="_Toc10398"/>
      <w:bookmarkStart w:id="1" w:name="_Toc17071"/>
      <w:bookmarkStart w:id="2" w:name="_Toc14514"/>
      <w:bookmarkStart w:id="3" w:name="_Toc14768"/>
      <w:bookmarkStart w:id="4" w:name="_Toc13576"/>
      <w:bookmarkStart w:id="5" w:name="_Toc21525"/>
      <w:bookmarkStart w:id="6" w:name="_Toc8074"/>
      <w:bookmarkStart w:id="7" w:name="_Toc8098"/>
      <w:bookmarkStart w:id="8" w:name="_Toc11512"/>
      <w:r>
        <w:rPr>
          <w:rFonts w:hint="default" w:ascii="Times New Roman" w:hAnsi="Times New Roman" w:eastAsia="宋体" w:cs="Times New Roman"/>
          <w:bCs/>
          <w:color w:val="auto"/>
          <w:sz w:val="72"/>
          <w:szCs w:val="72"/>
        </w:rPr>
        <w:t>建设项目环境影响报告表</w:t>
      </w:r>
      <w:bookmarkEnd w:id="0"/>
      <w:bookmarkEnd w:id="1"/>
      <w:bookmarkEnd w:id="2"/>
      <w:bookmarkEnd w:id="3"/>
      <w:bookmarkEnd w:id="4"/>
      <w:bookmarkEnd w:id="5"/>
      <w:bookmarkEnd w:id="6"/>
      <w:bookmarkEnd w:id="7"/>
      <w:bookmarkEnd w:id="8"/>
    </w:p>
    <w:p w14:paraId="76F07A66">
      <w:pPr>
        <w:adjustRightInd w:val="0"/>
        <w:snapToGrid w:val="0"/>
        <w:spacing w:before="192" w:beforeLines="80"/>
        <w:jc w:val="center"/>
        <w:rPr>
          <w:rFonts w:hint="default" w:ascii="Times New Roman" w:hAnsi="Times New Roman" w:eastAsia="宋体" w:cs="Times New Roman"/>
          <w:bCs/>
          <w:color w:val="auto"/>
          <w:sz w:val="48"/>
          <w:szCs w:val="48"/>
        </w:rPr>
      </w:pPr>
      <w:r>
        <w:rPr>
          <w:rFonts w:hint="default" w:ascii="Times New Roman" w:hAnsi="Times New Roman" w:eastAsia="宋体" w:cs="Times New Roman"/>
          <w:bCs/>
          <w:color w:val="auto"/>
          <w:sz w:val="48"/>
          <w:szCs w:val="48"/>
        </w:rPr>
        <w:t>（污染影响类）</w:t>
      </w:r>
    </w:p>
    <w:p w14:paraId="79086644">
      <w:pPr>
        <w:adjustRightInd w:val="0"/>
        <w:snapToGrid w:val="0"/>
        <w:spacing w:line="288" w:lineRule="auto"/>
        <w:jc w:val="center"/>
        <w:outlineLvl w:val="0"/>
        <w:rPr>
          <w:rFonts w:hint="default" w:ascii="Times New Roman" w:hAnsi="Times New Roman" w:eastAsia="宋体" w:cs="Times New Roman"/>
          <w:color w:val="auto"/>
          <w:kern w:val="44"/>
          <w:sz w:val="44"/>
          <w:szCs w:val="44"/>
        </w:rPr>
      </w:pPr>
    </w:p>
    <w:p w14:paraId="761CB74B">
      <w:pPr>
        <w:jc w:val="center"/>
        <w:rPr>
          <w:rFonts w:hint="default" w:ascii="Times New Roman" w:hAnsi="Times New Roman" w:eastAsia="宋体" w:cs="Times New Roman"/>
          <w:color w:val="auto"/>
          <w:sz w:val="52"/>
          <w:szCs w:val="52"/>
        </w:rPr>
      </w:pPr>
    </w:p>
    <w:p w14:paraId="3030A443">
      <w:pPr>
        <w:ind w:firstLine="1040"/>
        <w:rPr>
          <w:rFonts w:hint="default" w:ascii="Times New Roman" w:hAnsi="Times New Roman" w:eastAsia="宋体" w:cs="Times New Roman"/>
          <w:color w:val="auto"/>
          <w:sz w:val="44"/>
          <w:szCs w:val="44"/>
        </w:rPr>
      </w:pPr>
    </w:p>
    <w:p w14:paraId="27290188">
      <w:pPr>
        <w:ind w:firstLine="1040"/>
        <w:rPr>
          <w:rFonts w:hint="default" w:ascii="Times New Roman" w:hAnsi="Times New Roman" w:eastAsia="宋体" w:cs="Times New Roman"/>
          <w:color w:val="auto"/>
          <w:sz w:val="44"/>
          <w:szCs w:val="44"/>
        </w:rPr>
      </w:pPr>
    </w:p>
    <w:p w14:paraId="321E101A">
      <w:pPr>
        <w:ind w:firstLine="1040"/>
        <w:rPr>
          <w:rFonts w:hint="default" w:ascii="Times New Roman" w:hAnsi="Times New Roman" w:eastAsia="宋体" w:cs="Times New Roman"/>
          <w:color w:val="auto"/>
          <w:sz w:val="44"/>
          <w:szCs w:val="44"/>
        </w:rPr>
      </w:pPr>
    </w:p>
    <w:p w14:paraId="1EC92850">
      <w:pPr>
        <w:ind w:firstLine="420"/>
        <w:rPr>
          <w:rFonts w:hint="default" w:ascii="Times New Roman" w:hAnsi="Times New Roman" w:eastAsia="宋体" w:cs="Times New Roman"/>
          <w:color w:val="auto"/>
          <w:sz w:val="44"/>
          <w:szCs w:val="44"/>
        </w:rPr>
      </w:pPr>
    </w:p>
    <w:p w14:paraId="5CCFDCCD">
      <w:pPr>
        <w:spacing w:line="480" w:lineRule="auto"/>
        <w:jc w:val="both"/>
        <w:rPr>
          <w:rFonts w:hint="default" w:ascii="Times New Roman" w:hAnsi="Times New Roman" w:eastAsia="宋体" w:cs="Times New Roman"/>
          <w:color w:val="auto"/>
          <w:sz w:val="30"/>
          <w:szCs w:val="30"/>
          <w:u w:val="single"/>
          <w:lang w:val="en-US" w:eastAsia="zh-CN"/>
        </w:rPr>
      </w:pPr>
      <w:r>
        <w:rPr>
          <w:rFonts w:hint="default" w:ascii="Times New Roman" w:hAnsi="Times New Roman" w:eastAsia="宋体" w:cs="Times New Roman"/>
          <w:color w:val="auto"/>
          <w:sz w:val="30"/>
          <w:szCs w:val="30"/>
        </w:rPr>
        <w:t>项目名称：</w:t>
      </w:r>
      <w:r>
        <w:rPr>
          <w:rFonts w:hint="default" w:ascii="Times New Roman" w:hAnsi="Times New Roman" w:eastAsia="宋体" w:cs="Times New Roman"/>
          <w:color w:val="auto"/>
          <w:sz w:val="30"/>
          <w:szCs w:val="30"/>
          <w:u w:val="single"/>
        </w:rPr>
        <w:t xml:space="preserve"> </w:t>
      </w:r>
      <w:r>
        <w:rPr>
          <w:rFonts w:hint="eastAsia" w:ascii="Times New Roman" w:hAnsi="Times New Roman" w:eastAsia="宋体" w:cs="Times New Roman"/>
          <w:color w:val="auto"/>
          <w:sz w:val="30"/>
          <w:szCs w:val="30"/>
          <w:u w:val="single"/>
          <w:lang w:val="en-US" w:eastAsia="zh-CN"/>
        </w:rPr>
        <w:t xml:space="preserve">   冠霖环保建筑垃圾受纳场项目      </w:t>
      </w:r>
    </w:p>
    <w:p w14:paraId="62C6AAA4">
      <w:pPr>
        <w:spacing w:line="480" w:lineRule="auto"/>
        <w:rPr>
          <w:rFonts w:hint="default" w:ascii="Times New Roman" w:hAnsi="Times New Roman" w:eastAsia="宋体" w:cs="Times New Roman"/>
          <w:color w:val="auto"/>
          <w:sz w:val="30"/>
          <w:szCs w:val="30"/>
          <w:lang w:val="en-US"/>
        </w:rPr>
      </w:pPr>
      <w:r>
        <w:rPr>
          <w:rFonts w:hint="default" w:ascii="Times New Roman" w:hAnsi="Times New Roman" w:eastAsia="宋体" w:cs="Times New Roman"/>
          <w:color w:val="auto"/>
          <w:sz w:val="30"/>
          <w:szCs w:val="30"/>
        </w:rPr>
        <w:t>建设单位（盖章）</w:t>
      </w:r>
      <w:r>
        <w:rPr>
          <w:rFonts w:hint="eastAsia" w:ascii="Times New Roman" w:hAnsi="Times New Roman" w:eastAsia="宋体" w:cs="Times New Roman"/>
          <w:color w:val="auto"/>
          <w:sz w:val="30"/>
          <w:szCs w:val="30"/>
          <w:lang w:eastAsia="zh-CN"/>
        </w:rPr>
        <w:t>：</w:t>
      </w:r>
      <w:r>
        <w:rPr>
          <w:rFonts w:hint="eastAsia" w:ascii="Times New Roman" w:hAnsi="Times New Roman" w:eastAsia="宋体" w:cs="Times New Roman"/>
          <w:color w:val="auto"/>
          <w:sz w:val="30"/>
          <w:szCs w:val="30"/>
          <w:u w:val="single"/>
          <w:lang w:val="en-US" w:eastAsia="zh-CN"/>
        </w:rPr>
        <w:t xml:space="preserve">   湛江冠霖环保有限责任公司    </w:t>
      </w:r>
      <w:r>
        <w:rPr>
          <w:rFonts w:hint="eastAsia" w:ascii="Times New Roman" w:hAnsi="Times New Roman" w:eastAsia="宋体" w:cs="Times New Roman"/>
          <w:color w:val="auto"/>
          <w:spacing w:val="20"/>
          <w:sz w:val="30"/>
          <w:szCs w:val="30"/>
          <w:u w:val="single"/>
          <w:lang w:val="en-US" w:eastAsia="zh-CN"/>
        </w:rPr>
        <w:t xml:space="preserve"> </w:t>
      </w:r>
    </w:p>
    <w:p w14:paraId="39CE430A">
      <w:pPr>
        <w:adjustRightInd w:val="0"/>
        <w:snapToGrid w:val="0"/>
        <w:spacing w:line="480" w:lineRule="auto"/>
        <w:jc w:val="left"/>
        <w:rPr>
          <w:rFonts w:hint="default" w:ascii="Times New Roman" w:hAnsi="Times New Roman" w:eastAsia="宋体" w:cs="Times New Roman"/>
          <w:color w:val="auto"/>
          <w:sz w:val="30"/>
          <w:szCs w:val="30"/>
          <w:u w:val="single"/>
          <w:lang w:val="en-US"/>
        </w:rPr>
      </w:pPr>
      <w:r>
        <w:rPr>
          <w:rFonts w:hint="default" w:ascii="Times New Roman" w:hAnsi="Times New Roman" w:eastAsia="宋体" w:cs="Times New Roman"/>
          <w:color w:val="auto"/>
          <w:sz w:val="30"/>
          <w:szCs w:val="30"/>
        </w:rPr>
        <w:t>编制日期：</w:t>
      </w:r>
      <w:r>
        <w:rPr>
          <w:rFonts w:hint="default" w:ascii="Times New Roman" w:hAnsi="Times New Roman" w:eastAsia="宋体" w:cs="Times New Roman"/>
          <w:color w:val="auto"/>
          <w:sz w:val="30"/>
          <w:szCs w:val="30"/>
          <w:u w:val="single"/>
        </w:rPr>
        <w:t xml:space="preserve"> </w:t>
      </w:r>
      <w:r>
        <w:rPr>
          <w:rFonts w:hint="eastAsia" w:ascii="Times New Roman" w:hAnsi="Times New Roman" w:eastAsia="宋体" w:cs="Times New Roman"/>
          <w:color w:val="auto"/>
          <w:sz w:val="30"/>
          <w:szCs w:val="30"/>
          <w:u w:val="single"/>
          <w:lang w:val="en-US" w:eastAsia="zh-CN"/>
        </w:rPr>
        <w:t xml:space="preserve"> </w:t>
      </w:r>
      <w:r>
        <w:rPr>
          <w:rFonts w:hint="default" w:ascii="Times New Roman" w:hAnsi="Times New Roman" w:eastAsia="宋体" w:cs="Times New Roman"/>
          <w:color w:val="auto"/>
          <w:sz w:val="30"/>
          <w:szCs w:val="30"/>
          <w:u w:val="single"/>
        </w:rPr>
        <w:t xml:space="preserve">  </w:t>
      </w:r>
      <w:r>
        <w:rPr>
          <w:rFonts w:hint="eastAsia" w:ascii="Times New Roman" w:hAnsi="Times New Roman" w:eastAsia="宋体" w:cs="Times New Roman"/>
          <w:color w:val="auto"/>
          <w:sz w:val="30"/>
          <w:szCs w:val="30"/>
          <w:u w:val="single"/>
          <w:lang w:val="en-US" w:eastAsia="zh-CN"/>
        </w:rPr>
        <w:t xml:space="preserve">           2025</w:t>
      </w:r>
      <w:r>
        <w:rPr>
          <w:rFonts w:hint="default" w:ascii="Times New Roman" w:hAnsi="Times New Roman" w:eastAsia="宋体" w:cs="Times New Roman"/>
          <w:color w:val="auto"/>
          <w:sz w:val="30"/>
          <w:szCs w:val="30"/>
          <w:u w:val="single"/>
        </w:rPr>
        <w:t>年</w:t>
      </w:r>
      <w:r>
        <w:rPr>
          <w:rFonts w:hint="eastAsia" w:ascii="Times New Roman" w:hAnsi="Times New Roman" w:eastAsia="宋体" w:cs="Times New Roman"/>
          <w:color w:val="auto"/>
          <w:sz w:val="30"/>
          <w:szCs w:val="30"/>
          <w:u w:val="single"/>
          <w:lang w:val="en-US" w:eastAsia="zh-CN"/>
        </w:rPr>
        <w:t>8</w:t>
      </w:r>
      <w:r>
        <w:rPr>
          <w:rFonts w:hint="default" w:ascii="Times New Roman" w:hAnsi="Times New Roman" w:eastAsia="宋体" w:cs="Times New Roman"/>
          <w:color w:val="auto"/>
          <w:sz w:val="30"/>
          <w:szCs w:val="30"/>
          <w:u w:val="single"/>
        </w:rPr>
        <w:t>月</w:t>
      </w:r>
      <w:r>
        <w:rPr>
          <w:rFonts w:hint="eastAsia" w:ascii="Times New Roman" w:hAnsi="Times New Roman" w:eastAsia="宋体" w:cs="Times New Roman"/>
          <w:color w:val="auto"/>
          <w:sz w:val="30"/>
          <w:szCs w:val="30"/>
          <w:u w:val="single"/>
          <w:lang w:val="en-US" w:eastAsia="zh-CN"/>
        </w:rPr>
        <w:t xml:space="preserve">               </w:t>
      </w:r>
    </w:p>
    <w:p w14:paraId="64E5C5C1">
      <w:pPr>
        <w:adjustRightInd w:val="0"/>
        <w:snapToGrid w:val="0"/>
        <w:spacing w:line="480" w:lineRule="auto"/>
        <w:ind w:firstLine="1040"/>
        <w:jc w:val="left"/>
        <w:rPr>
          <w:rFonts w:hint="default" w:ascii="Times New Roman" w:hAnsi="Times New Roman" w:eastAsia="宋体" w:cs="Times New Roman"/>
          <w:color w:val="auto"/>
          <w:sz w:val="36"/>
          <w:szCs w:val="36"/>
        </w:rPr>
      </w:pPr>
      <w:bookmarkStart w:id="9" w:name="_Hlk57884087"/>
    </w:p>
    <w:p w14:paraId="24BF8D74">
      <w:pPr>
        <w:adjustRightInd w:val="0"/>
        <w:snapToGrid w:val="0"/>
        <w:spacing w:line="288" w:lineRule="auto"/>
        <w:ind w:firstLine="1040"/>
        <w:rPr>
          <w:rFonts w:hint="default" w:ascii="Times New Roman" w:hAnsi="Times New Roman" w:eastAsia="宋体" w:cs="Times New Roman"/>
          <w:color w:val="auto"/>
          <w:sz w:val="36"/>
          <w:szCs w:val="36"/>
        </w:rPr>
      </w:pPr>
    </w:p>
    <w:p w14:paraId="11F94F15">
      <w:pPr>
        <w:adjustRightInd w:val="0"/>
        <w:snapToGrid w:val="0"/>
        <w:spacing w:line="288" w:lineRule="auto"/>
        <w:ind w:firstLine="1040"/>
        <w:rPr>
          <w:rFonts w:hint="default" w:ascii="Times New Roman" w:hAnsi="Times New Roman" w:eastAsia="宋体" w:cs="Times New Roman"/>
          <w:color w:val="auto"/>
          <w:sz w:val="36"/>
          <w:szCs w:val="36"/>
        </w:rPr>
      </w:pPr>
    </w:p>
    <w:p w14:paraId="61E9FB65">
      <w:pPr>
        <w:adjustRightInd w:val="0"/>
        <w:snapToGrid w:val="0"/>
        <w:spacing w:line="288" w:lineRule="auto"/>
        <w:ind w:firstLine="1040"/>
        <w:rPr>
          <w:rFonts w:hint="default" w:ascii="Times New Roman" w:hAnsi="Times New Roman" w:eastAsia="宋体" w:cs="Times New Roman"/>
          <w:color w:val="auto"/>
          <w:sz w:val="36"/>
          <w:szCs w:val="36"/>
        </w:rPr>
      </w:pPr>
    </w:p>
    <w:bookmarkEnd w:id="9"/>
    <w:p w14:paraId="642E4803">
      <w:pPr>
        <w:adjustRightInd w:val="0"/>
        <w:snapToGrid w:val="0"/>
        <w:spacing w:line="288" w:lineRule="auto"/>
        <w:jc w:val="center"/>
        <w:rPr>
          <w:rFonts w:hint="default" w:ascii="Times New Roman" w:hAnsi="Times New Roman" w:eastAsia="宋体" w:cs="Times New Roman"/>
          <w:color w:val="auto"/>
          <w:sz w:val="36"/>
          <w:szCs w:val="36"/>
        </w:rPr>
      </w:pPr>
      <w:r>
        <w:rPr>
          <w:rFonts w:hint="default" w:ascii="Times New Roman" w:hAnsi="Times New Roman" w:eastAsia="宋体" w:cs="Times New Roman"/>
          <w:color w:val="auto"/>
          <w:sz w:val="36"/>
          <w:szCs w:val="36"/>
        </w:rPr>
        <w:t>中华人民共和国生态环境部制</w:t>
      </w:r>
    </w:p>
    <w:p w14:paraId="30BBED96">
      <w:pPr>
        <w:adjustRightInd w:val="0"/>
        <w:spacing w:line="240" w:lineRule="auto"/>
        <w:ind w:firstLine="0"/>
        <w:jc w:val="center"/>
        <w:rPr>
          <w:rFonts w:hint="default" w:ascii="Times New Roman" w:hAnsi="Times New Roman" w:eastAsia="宋体" w:cs="Times New Roman"/>
          <w:b/>
          <w:color w:val="auto"/>
          <w:sz w:val="38"/>
          <w:szCs w:val="38"/>
        </w:rPr>
      </w:pPr>
    </w:p>
    <w:p w14:paraId="42369442">
      <w:pPr>
        <w:adjustRightInd w:val="0"/>
        <w:spacing w:line="240" w:lineRule="auto"/>
        <w:ind w:firstLine="0"/>
        <w:jc w:val="center"/>
        <w:rPr>
          <w:rFonts w:hint="default" w:ascii="Times New Roman" w:hAnsi="Times New Roman" w:eastAsia="宋体" w:cs="Times New Roman"/>
          <w:b/>
          <w:color w:val="auto"/>
          <w:sz w:val="38"/>
          <w:szCs w:val="38"/>
        </w:rPr>
      </w:pPr>
    </w:p>
    <w:p w14:paraId="29ADBF4D">
      <w:pPr>
        <w:rPr>
          <w:rFonts w:hint="default" w:ascii="Times New Roman" w:hAnsi="Times New Roman" w:eastAsia="宋体" w:cs="Times New Roman"/>
          <w:b/>
          <w:color w:val="auto"/>
          <w:sz w:val="38"/>
          <w:szCs w:val="38"/>
        </w:rPr>
      </w:pPr>
      <w:r>
        <w:rPr>
          <w:rFonts w:hint="default" w:ascii="Times New Roman" w:hAnsi="Times New Roman" w:eastAsia="宋体" w:cs="Times New Roman"/>
          <w:b/>
          <w:color w:val="auto"/>
          <w:sz w:val="38"/>
          <w:szCs w:val="38"/>
        </w:rPr>
        <w:br w:type="page"/>
      </w:r>
    </w:p>
    <w:p w14:paraId="36DA853A">
      <w:pPr>
        <w:pStyle w:val="42"/>
        <w:rPr>
          <w:rFonts w:hint="default"/>
          <w:color w:val="auto"/>
        </w:rPr>
      </w:pPr>
    </w:p>
    <w:p w14:paraId="5F799CF7">
      <w:pPr>
        <w:adjustRightInd w:val="0"/>
        <w:spacing w:line="240" w:lineRule="auto"/>
        <w:ind w:firstLine="0"/>
        <w:jc w:val="center"/>
        <w:rPr>
          <w:rFonts w:hint="default" w:ascii="Times New Roman" w:hAnsi="Times New Roman" w:eastAsia="宋体" w:cs="Times New Roman"/>
          <w:b/>
          <w:color w:val="auto"/>
          <w:sz w:val="38"/>
          <w:szCs w:val="38"/>
        </w:rPr>
      </w:pPr>
      <w:r>
        <w:rPr>
          <w:rFonts w:hint="default" w:ascii="Times New Roman" w:hAnsi="Times New Roman" w:eastAsia="宋体" w:cs="Times New Roman"/>
          <w:b/>
          <w:color w:val="auto"/>
          <w:sz w:val="38"/>
          <w:szCs w:val="38"/>
        </w:rPr>
        <w:t>建设项目环境影响报告书（表）</w:t>
      </w:r>
    </w:p>
    <w:p w14:paraId="65F67627">
      <w:pPr>
        <w:adjustRightInd w:val="0"/>
        <w:spacing w:line="240" w:lineRule="auto"/>
        <w:ind w:firstLine="0"/>
        <w:jc w:val="center"/>
        <w:rPr>
          <w:rFonts w:hint="default" w:ascii="Times New Roman" w:hAnsi="Times New Roman" w:eastAsia="宋体" w:cs="Times New Roman"/>
          <w:b/>
          <w:color w:val="auto"/>
          <w:sz w:val="38"/>
          <w:szCs w:val="38"/>
        </w:rPr>
      </w:pPr>
      <w:r>
        <w:rPr>
          <w:rFonts w:hint="default" w:ascii="Times New Roman" w:hAnsi="Times New Roman" w:eastAsia="宋体" w:cs="Times New Roman"/>
          <w:b/>
          <w:color w:val="auto"/>
          <w:sz w:val="38"/>
          <w:szCs w:val="38"/>
        </w:rPr>
        <w:t>编制情况承诺书</w:t>
      </w:r>
    </w:p>
    <w:p w14:paraId="52819A00">
      <w:pPr>
        <w:adjustRightInd w:val="0"/>
        <w:spacing w:line="408" w:lineRule="auto"/>
        <w:ind w:firstLine="0"/>
        <w:jc w:val="left"/>
        <w:rPr>
          <w:rFonts w:hint="default" w:ascii="Times New Roman" w:hAnsi="Times New Roman" w:eastAsia="黑体" w:cs="Times New Roman"/>
          <w:color w:val="auto"/>
          <w:szCs w:val="32"/>
        </w:rPr>
      </w:pPr>
    </w:p>
    <w:p w14:paraId="16371414">
      <w:pPr>
        <w:adjustRightInd w:val="0"/>
        <w:spacing w:line="360" w:lineRule="auto"/>
        <w:ind w:left="195" w:leftChars="93" w:firstLine="600" w:firstLineChars="200"/>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z w:val="30"/>
          <w:szCs w:val="30"/>
        </w:rPr>
        <w:t>本单位</w:t>
      </w:r>
      <w:r>
        <w:rPr>
          <w:rFonts w:hint="default" w:ascii="Times New Roman" w:hAnsi="Times New Roman" w:eastAsia="仿宋" w:cs="Times New Roman"/>
          <w:color w:val="auto"/>
          <w:sz w:val="30"/>
          <w:szCs w:val="30"/>
          <w:u w:val="single"/>
        </w:rPr>
        <w:t xml:space="preserve">    湛江市环泽环保科技有限公司     </w:t>
      </w:r>
      <w:r>
        <w:rPr>
          <w:rFonts w:hint="default" w:ascii="Times New Roman" w:hAnsi="Times New Roman" w:eastAsia="仿宋" w:cs="Times New Roman"/>
          <w:color w:val="auto"/>
          <w:sz w:val="30"/>
          <w:szCs w:val="30"/>
        </w:rPr>
        <w:t>（统一社会信用代码</w:t>
      </w:r>
      <w:r>
        <w:rPr>
          <w:rFonts w:hint="default" w:ascii="Times New Roman" w:hAnsi="Times New Roman" w:eastAsia="仿宋" w:cs="Times New Roman"/>
          <w:color w:val="auto"/>
          <w:sz w:val="30"/>
          <w:szCs w:val="30"/>
          <w:u w:val="single"/>
        </w:rPr>
        <w:t xml:space="preserve">    91440800577856866P     </w:t>
      </w:r>
      <w:r>
        <w:rPr>
          <w:rFonts w:hint="default" w:ascii="Times New Roman" w:hAnsi="Times New Roman" w:eastAsia="仿宋" w:cs="Times New Roman"/>
          <w:color w:val="auto"/>
          <w:sz w:val="30"/>
          <w:szCs w:val="30"/>
        </w:rPr>
        <w:t>）郑重承诺：本单位符合《建设项目环境影响报告书（表）编制监督管理办法》第九条第一款规定，无该条第三款所列情形，</w:t>
      </w:r>
      <w:r>
        <w:rPr>
          <w:rFonts w:hint="default" w:ascii="Times New Roman" w:hAnsi="Times New Roman" w:eastAsia="仿宋" w:cs="Times New Roman"/>
          <w:color w:val="auto"/>
          <w:sz w:val="30"/>
          <w:szCs w:val="30"/>
          <w:u w:val="single"/>
        </w:rPr>
        <w:t xml:space="preserve"> </w:t>
      </w:r>
      <w:r>
        <w:rPr>
          <w:rFonts w:hint="default" w:ascii="Times New Roman" w:hAnsi="Times New Roman" w:eastAsia="仿宋" w:cs="Times New Roman"/>
          <w:color w:val="auto"/>
          <w:sz w:val="30"/>
          <w:szCs w:val="30"/>
          <w:u w:val="single"/>
          <w:lang w:val="en-US" w:eastAsia="zh-CN"/>
        </w:rPr>
        <w:t>不属于</w:t>
      </w:r>
      <w:r>
        <w:rPr>
          <w:rFonts w:hint="default" w:ascii="Times New Roman" w:hAnsi="Times New Roman" w:eastAsia="仿宋" w:cs="Times New Roman"/>
          <w:color w:val="auto"/>
          <w:sz w:val="30"/>
          <w:szCs w:val="30"/>
          <w:u w:val="single"/>
        </w:rPr>
        <w:t xml:space="preserve"> </w:t>
      </w:r>
      <w:r>
        <w:rPr>
          <w:rFonts w:hint="default" w:ascii="Times New Roman" w:hAnsi="Times New Roman" w:eastAsia="仿宋" w:cs="Times New Roman"/>
          <w:color w:val="auto"/>
          <w:sz w:val="30"/>
          <w:szCs w:val="30"/>
        </w:rPr>
        <w:t>（属于/不属于）该条第二款所列单位；本次在环境影响评价信用平台提交的由本单位主持编制的</w:t>
      </w:r>
      <w:r>
        <w:rPr>
          <w:rFonts w:hint="default" w:ascii="Times New Roman" w:hAnsi="Times New Roman" w:eastAsia="仿宋" w:cs="Times New Roman"/>
          <w:color w:val="auto"/>
          <w:sz w:val="30"/>
          <w:szCs w:val="30"/>
          <w:u w:val="single"/>
        </w:rPr>
        <w:t xml:space="preserve">   冠霖环保建筑垃圾受纳场     </w:t>
      </w:r>
      <w:r>
        <w:rPr>
          <w:rFonts w:hint="default" w:ascii="Times New Roman" w:hAnsi="Times New Roman" w:eastAsia="仿宋" w:cs="Times New Roman"/>
          <w:color w:val="auto"/>
          <w:sz w:val="30"/>
          <w:szCs w:val="30"/>
        </w:rPr>
        <w:t>项目环境影响报告书（表）基本情况信息真实准确、完整有效，不涉及国家秘密；该项目环境影响报告书（表）的编制主持人为</w:t>
      </w:r>
      <w:r>
        <w:rPr>
          <w:rFonts w:hint="default" w:ascii="Times New Roman" w:hAnsi="Times New Roman" w:eastAsia="仿宋" w:cs="Times New Roman"/>
          <w:color w:val="auto"/>
          <w:sz w:val="30"/>
          <w:szCs w:val="30"/>
          <w:u w:val="single"/>
        </w:rPr>
        <w:t xml:space="preserve">   </w:t>
      </w:r>
      <w:r>
        <w:rPr>
          <w:rFonts w:hint="eastAsia" w:ascii="Times New Roman" w:hAnsi="Times New Roman" w:eastAsia="仿宋" w:cs="Times New Roman"/>
          <w:color w:val="auto"/>
          <w:sz w:val="30"/>
          <w:szCs w:val="30"/>
          <w:u w:val="single"/>
          <w:lang w:val="en-US" w:eastAsia="zh-CN"/>
        </w:rPr>
        <w:t>施达彬</w:t>
      </w:r>
      <w:r>
        <w:rPr>
          <w:rFonts w:hint="default" w:ascii="Times New Roman" w:hAnsi="Times New Roman" w:eastAsia="仿宋" w:cs="Times New Roman"/>
          <w:color w:val="auto"/>
          <w:sz w:val="30"/>
          <w:szCs w:val="30"/>
          <w:u w:val="single"/>
        </w:rPr>
        <w:t xml:space="preserve">   </w:t>
      </w:r>
      <w:r>
        <w:rPr>
          <w:rFonts w:hint="default" w:ascii="Times New Roman" w:hAnsi="Times New Roman" w:eastAsia="仿宋" w:cs="Times New Roman"/>
          <w:color w:val="auto"/>
          <w:sz w:val="30"/>
          <w:szCs w:val="30"/>
        </w:rPr>
        <w:t>（环境影响评价工程师职业资格证书管理号</w:t>
      </w:r>
      <w:r>
        <w:rPr>
          <w:rFonts w:hint="default" w:ascii="Times New Roman" w:hAnsi="Times New Roman" w:eastAsia="仿宋" w:cs="Times New Roman"/>
          <w:color w:val="auto"/>
          <w:sz w:val="30"/>
          <w:szCs w:val="30"/>
          <w:u w:val="single"/>
        </w:rPr>
        <w:t xml:space="preserve">   </w:t>
      </w:r>
      <w:r>
        <w:rPr>
          <w:rFonts w:hint="eastAsia" w:ascii="Times New Roman" w:hAnsi="Times New Roman" w:eastAsia="仿宋" w:cs="Times New Roman"/>
          <w:color w:val="auto"/>
          <w:sz w:val="30"/>
          <w:szCs w:val="30"/>
          <w:u w:val="single"/>
          <w:lang w:val="en-US" w:eastAsia="zh-CN"/>
        </w:rPr>
        <w:t>06351143505110586</w:t>
      </w:r>
      <w:r>
        <w:rPr>
          <w:rFonts w:hint="default" w:ascii="Times New Roman" w:hAnsi="Times New Roman" w:eastAsia="仿宋" w:cs="Times New Roman"/>
          <w:color w:val="auto"/>
          <w:sz w:val="30"/>
          <w:szCs w:val="30"/>
          <w:u w:val="single"/>
        </w:rPr>
        <w:t xml:space="preserve">    </w:t>
      </w:r>
      <w:r>
        <w:rPr>
          <w:rFonts w:hint="default" w:ascii="Times New Roman" w:hAnsi="Times New Roman" w:eastAsia="仿宋" w:cs="Times New Roman"/>
          <w:color w:val="auto"/>
          <w:sz w:val="30"/>
          <w:szCs w:val="30"/>
        </w:rPr>
        <w:t>，信用编号</w:t>
      </w:r>
      <w:r>
        <w:rPr>
          <w:rFonts w:hint="default" w:ascii="Times New Roman" w:hAnsi="Times New Roman" w:eastAsia="仿宋" w:cs="Times New Roman"/>
          <w:color w:val="auto"/>
          <w:sz w:val="30"/>
          <w:szCs w:val="30"/>
          <w:u w:val="single"/>
        </w:rPr>
        <w:t xml:space="preserve">  </w:t>
      </w:r>
      <w:r>
        <w:rPr>
          <w:rFonts w:hint="eastAsia" w:ascii="Times New Roman" w:hAnsi="Times New Roman" w:eastAsia="仿宋" w:cs="Times New Roman"/>
          <w:color w:val="auto"/>
          <w:sz w:val="30"/>
          <w:szCs w:val="30"/>
          <w:u w:val="single"/>
          <w:lang w:val="en-US" w:eastAsia="zh-CN"/>
        </w:rPr>
        <w:t>BH025059</w:t>
      </w:r>
      <w:r>
        <w:rPr>
          <w:rFonts w:hint="default" w:ascii="Times New Roman" w:hAnsi="Times New Roman" w:eastAsia="仿宋" w:cs="Times New Roman"/>
          <w:color w:val="auto"/>
          <w:sz w:val="30"/>
          <w:szCs w:val="30"/>
          <w:u w:val="single"/>
        </w:rPr>
        <w:t xml:space="preserve"> </w:t>
      </w:r>
      <w:r>
        <w:rPr>
          <w:rFonts w:hint="default" w:ascii="Times New Roman" w:hAnsi="Times New Roman" w:eastAsia="仿宋" w:cs="Times New Roman"/>
          <w:color w:val="auto"/>
          <w:sz w:val="30"/>
          <w:szCs w:val="30"/>
        </w:rPr>
        <w:t>），主要编制人员包括</w:t>
      </w:r>
      <w:r>
        <w:rPr>
          <w:rFonts w:hint="default" w:ascii="Times New Roman" w:hAnsi="Times New Roman" w:eastAsia="仿宋" w:cs="Times New Roman"/>
          <w:color w:val="auto"/>
          <w:sz w:val="30"/>
          <w:szCs w:val="30"/>
          <w:u w:val="single"/>
        </w:rPr>
        <w:t xml:space="preserve">   </w:t>
      </w:r>
      <w:r>
        <w:rPr>
          <w:rFonts w:hint="eastAsia" w:ascii="Times New Roman" w:hAnsi="Times New Roman" w:eastAsia="仿宋" w:cs="Times New Roman"/>
          <w:color w:val="auto"/>
          <w:sz w:val="30"/>
          <w:szCs w:val="30"/>
          <w:u w:val="single"/>
          <w:lang w:val="en-US" w:eastAsia="zh-CN"/>
        </w:rPr>
        <w:t>施达彬</w:t>
      </w:r>
      <w:r>
        <w:rPr>
          <w:rFonts w:hint="default" w:ascii="Times New Roman" w:hAnsi="Times New Roman" w:eastAsia="仿宋" w:cs="Times New Roman"/>
          <w:color w:val="auto"/>
          <w:sz w:val="30"/>
          <w:szCs w:val="30"/>
          <w:u w:val="single"/>
        </w:rPr>
        <w:t xml:space="preserve">    </w:t>
      </w:r>
      <w:r>
        <w:rPr>
          <w:rFonts w:hint="default" w:ascii="Times New Roman" w:hAnsi="Times New Roman" w:eastAsia="仿宋" w:cs="Times New Roman"/>
          <w:color w:val="auto"/>
          <w:sz w:val="30"/>
          <w:szCs w:val="30"/>
        </w:rPr>
        <w:t>（信用编号</w:t>
      </w:r>
      <w:r>
        <w:rPr>
          <w:rFonts w:hint="default" w:ascii="Times New Roman" w:hAnsi="Times New Roman" w:eastAsia="仿宋" w:cs="Times New Roman"/>
          <w:color w:val="auto"/>
          <w:sz w:val="30"/>
          <w:szCs w:val="30"/>
          <w:u w:val="single"/>
        </w:rPr>
        <w:t xml:space="preserve"> </w:t>
      </w:r>
      <w:r>
        <w:rPr>
          <w:rFonts w:hint="default" w:ascii="Times New Roman" w:hAnsi="Times New Roman" w:eastAsia="仿宋" w:cs="Times New Roman"/>
          <w:color w:val="auto"/>
          <w:sz w:val="30"/>
          <w:szCs w:val="30"/>
          <w:u w:val="single"/>
          <w:lang w:val="en-US" w:eastAsia="zh-CN"/>
        </w:rPr>
        <w:t>BH025059</w:t>
      </w:r>
      <w:r>
        <w:rPr>
          <w:rFonts w:hint="default" w:ascii="Times New Roman" w:hAnsi="Times New Roman" w:eastAsia="仿宋" w:cs="Times New Roman"/>
          <w:color w:val="auto"/>
          <w:sz w:val="30"/>
          <w:szCs w:val="30"/>
          <w:u w:val="single"/>
        </w:rPr>
        <w:t xml:space="preserve"> </w:t>
      </w:r>
      <w:r>
        <w:rPr>
          <w:rFonts w:hint="default" w:ascii="Times New Roman" w:hAnsi="Times New Roman" w:eastAsia="仿宋" w:cs="Times New Roman"/>
          <w:color w:val="auto"/>
          <w:sz w:val="30"/>
          <w:szCs w:val="30"/>
        </w:rPr>
        <w:t>）、</w:t>
      </w:r>
      <w:r>
        <w:rPr>
          <w:rFonts w:hint="eastAsia" w:ascii="Times New Roman" w:hAnsi="Times New Roman" w:eastAsia="仿宋" w:cs="Times New Roman"/>
          <w:color w:val="auto"/>
          <w:sz w:val="30"/>
          <w:szCs w:val="30"/>
          <w:u w:val="single"/>
          <w:lang w:val="en-US" w:eastAsia="zh-CN"/>
        </w:rPr>
        <w:t xml:space="preserve"> 张莉 </w:t>
      </w:r>
      <w:r>
        <w:rPr>
          <w:rFonts w:hint="default" w:ascii="Times New Roman" w:hAnsi="Times New Roman" w:eastAsia="仿宋" w:cs="Times New Roman"/>
          <w:color w:val="auto"/>
          <w:sz w:val="30"/>
          <w:szCs w:val="30"/>
        </w:rPr>
        <w:t>（信用编号</w:t>
      </w:r>
      <w:r>
        <w:rPr>
          <w:rFonts w:hint="default" w:ascii="Times New Roman" w:hAnsi="Times New Roman" w:eastAsia="仿宋" w:cs="Times New Roman"/>
          <w:color w:val="auto"/>
          <w:sz w:val="30"/>
          <w:szCs w:val="30"/>
          <w:u w:val="single"/>
        </w:rPr>
        <w:t xml:space="preserve">  </w:t>
      </w:r>
      <w:r>
        <w:rPr>
          <w:rFonts w:hint="eastAsia" w:ascii="Times New Roman" w:hAnsi="Times New Roman" w:eastAsia="仿宋" w:cs="Times New Roman"/>
          <w:color w:val="auto"/>
          <w:sz w:val="30"/>
          <w:szCs w:val="30"/>
          <w:u w:val="single"/>
          <w:lang w:val="en-US" w:eastAsia="zh-CN"/>
        </w:rPr>
        <w:t>BH077484</w:t>
      </w:r>
      <w:r>
        <w:rPr>
          <w:rFonts w:hint="default" w:ascii="Times New Roman" w:hAnsi="Times New Roman" w:eastAsia="仿宋" w:cs="Times New Roman"/>
          <w:color w:val="auto"/>
          <w:sz w:val="30"/>
          <w:szCs w:val="30"/>
          <w:u w:val="single"/>
        </w:rPr>
        <w:t xml:space="preserve">    </w:t>
      </w:r>
      <w:r>
        <w:rPr>
          <w:rFonts w:hint="default" w:ascii="Times New Roman" w:hAnsi="Times New Roman" w:eastAsia="仿宋" w:cs="Times New Roman"/>
          <w:color w:val="auto"/>
          <w:sz w:val="30"/>
          <w:szCs w:val="30"/>
        </w:rPr>
        <w:t>）（依次全部列出）等</w:t>
      </w:r>
      <w:r>
        <w:rPr>
          <w:rFonts w:hint="default" w:ascii="Times New Roman" w:hAnsi="Times New Roman" w:eastAsia="仿宋" w:cs="Times New Roman"/>
          <w:color w:val="auto"/>
          <w:sz w:val="30"/>
          <w:szCs w:val="30"/>
          <w:u w:val="single"/>
        </w:rPr>
        <w:t xml:space="preserve">  2  </w:t>
      </w:r>
      <w:r>
        <w:rPr>
          <w:rFonts w:hint="default" w:ascii="Times New Roman" w:hAnsi="Times New Roman" w:eastAsia="仿宋" w:cs="Times New Roman"/>
          <w:color w:val="auto"/>
          <w:sz w:val="30"/>
          <w:szCs w:val="30"/>
        </w:rPr>
        <w:t>人，上述人员均为本单位全职人员；本单位和上述编制人员未被列入《建设项目环境影响报告书（表）编制监督管理办法》规定的限期整改名单、环境影响评价失信“黑名单”。</w:t>
      </w:r>
    </w:p>
    <w:p w14:paraId="2E50B97C">
      <w:pPr>
        <w:adjustRightInd w:val="0"/>
        <w:spacing w:line="360" w:lineRule="auto"/>
        <w:ind w:left="195" w:leftChars="93" w:firstLine="600" w:firstLineChars="200"/>
        <w:rPr>
          <w:rFonts w:hint="default" w:ascii="Times New Roman" w:hAnsi="Times New Roman" w:eastAsia="仿宋" w:cs="Times New Roman"/>
          <w:color w:val="auto"/>
          <w:sz w:val="30"/>
          <w:szCs w:val="30"/>
        </w:rPr>
      </w:pPr>
    </w:p>
    <w:p w14:paraId="78E66469">
      <w:pPr>
        <w:wordWrap w:val="0"/>
        <w:adjustRightInd w:val="0"/>
        <w:spacing w:line="360" w:lineRule="auto"/>
        <w:ind w:firstLine="0"/>
        <w:jc w:val="right"/>
        <w:rPr>
          <w:rFonts w:hint="default" w:ascii="Times New Roman" w:hAnsi="Times New Roman" w:eastAsia="仿宋" w:cs="Times New Roman"/>
          <w:color w:val="auto"/>
          <w:sz w:val="30"/>
          <w:szCs w:val="30"/>
        </w:rPr>
      </w:pPr>
      <w:r>
        <w:rPr>
          <w:rFonts w:hint="default" w:ascii="Times New Roman" w:hAnsi="Times New Roman" w:eastAsia="仿宋" w:cs="Times New Roman"/>
          <w:color w:val="auto"/>
          <w:sz w:val="30"/>
          <w:szCs w:val="30"/>
        </w:rPr>
        <w:t xml:space="preserve"> 承诺单位(公章)：湛江市环泽环保科技有限公司</w:t>
      </w:r>
    </w:p>
    <w:p w14:paraId="3E2ADE2F">
      <w:pPr>
        <w:jc w:val="right"/>
        <w:rPr>
          <w:rFonts w:hint="default" w:ascii="Times New Roman" w:hAnsi="Times New Roman" w:cs="Times New Roman"/>
          <w:color w:val="auto"/>
        </w:rPr>
      </w:pPr>
      <w:r>
        <w:rPr>
          <w:rFonts w:hint="default" w:ascii="Times New Roman" w:hAnsi="Times New Roman" w:eastAsia="仿宋" w:cs="Times New Roman"/>
          <w:color w:val="auto"/>
          <w:sz w:val="30"/>
          <w:szCs w:val="30"/>
        </w:rPr>
        <w:t>年</w:t>
      </w:r>
      <w:r>
        <w:rPr>
          <w:rFonts w:hint="eastAsia" w:ascii="Times New Roman" w:hAnsi="Times New Roman" w:eastAsia="仿宋" w:cs="Times New Roman"/>
          <w:color w:val="auto"/>
          <w:sz w:val="30"/>
          <w:szCs w:val="30"/>
          <w:lang w:val="en-US" w:eastAsia="zh-CN"/>
        </w:rPr>
        <w:t xml:space="preserve">   </w:t>
      </w:r>
      <w:r>
        <w:rPr>
          <w:rFonts w:hint="default" w:ascii="Times New Roman" w:hAnsi="Times New Roman" w:eastAsia="仿宋" w:cs="Times New Roman"/>
          <w:color w:val="auto"/>
          <w:sz w:val="30"/>
          <w:szCs w:val="30"/>
        </w:rPr>
        <w:t>月</w:t>
      </w:r>
      <w:r>
        <w:rPr>
          <w:rFonts w:hint="eastAsia" w:ascii="Times New Roman" w:hAnsi="Times New Roman" w:eastAsia="仿宋" w:cs="Times New Roman"/>
          <w:color w:val="auto"/>
          <w:sz w:val="30"/>
          <w:szCs w:val="30"/>
          <w:lang w:val="en-US" w:eastAsia="zh-CN"/>
        </w:rPr>
        <w:t xml:space="preserve">   </w:t>
      </w:r>
      <w:r>
        <w:rPr>
          <w:rFonts w:hint="default" w:ascii="Times New Roman" w:hAnsi="Times New Roman" w:eastAsia="仿宋" w:cs="Times New Roman"/>
          <w:color w:val="auto"/>
          <w:sz w:val="30"/>
          <w:szCs w:val="30"/>
        </w:rPr>
        <w:t>日</w:t>
      </w:r>
    </w:p>
    <w:p w14:paraId="756685B4">
      <w:pPr>
        <w:spacing w:before="158" w:line="187" w:lineRule="auto"/>
        <w:ind w:left="2627"/>
        <w:jc w:val="both"/>
        <w:rPr>
          <w:rFonts w:ascii="微软雅黑" w:hAnsi="微软雅黑" w:eastAsia="微软雅黑" w:cs="微软雅黑"/>
          <w:color w:val="auto"/>
          <w:spacing w:val="9"/>
          <w:sz w:val="37"/>
          <w:szCs w:val="37"/>
        </w:rPr>
      </w:pPr>
    </w:p>
    <w:p w14:paraId="06824D27">
      <w:pPr>
        <w:spacing w:before="158" w:line="187" w:lineRule="auto"/>
        <w:ind w:left="2627"/>
        <w:jc w:val="both"/>
        <w:rPr>
          <w:rFonts w:ascii="微软雅黑" w:hAnsi="微软雅黑" w:eastAsia="微软雅黑" w:cs="微软雅黑"/>
          <w:color w:val="auto"/>
          <w:spacing w:val="9"/>
          <w:sz w:val="37"/>
          <w:szCs w:val="37"/>
        </w:rPr>
      </w:pPr>
    </w:p>
    <w:p w14:paraId="0B2C0D37">
      <w:pPr>
        <w:rPr>
          <w:rFonts w:ascii="微软雅黑" w:hAnsi="微软雅黑" w:eastAsia="微软雅黑" w:cs="微软雅黑"/>
          <w:color w:val="auto"/>
          <w:spacing w:val="9"/>
          <w:sz w:val="37"/>
          <w:szCs w:val="37"/>
        </w:rPr>
      </w:pPr>
      <w:r>
        <w:rPr>
          <w:rFonts w:ascii="微软雅黑" w:hAnsi="微软雅黑" w:eastAsia="微软雅黑" w:cs="微软雅黑"/>
          <w:color w:val="auto"/>
          <w:spacing w:val="9"/>
          <w:sz w:val="37"/>
          <w:szCs w:val="37"/>
        </w:rPr>
        <w:br w:type="page"/>
      </w:r>
    </w:p>
    <w:p w14:paraId="7C95478D">
      <w:pPr>
        <w:spacing w:before="158" w:line="187" w:lineRule="auto"/>
        <w:ind w:left="2627"/>
        <w:jc w:val="both"/>
        <w:rPr>
          <w:rFonts w:ascii="微软雅黑" w:hAnsi="微软雅黑" w:eastAsia="微软雅黑" w:cs="微软雅黑"/>
          <w:color w:val="auto"/>
          <w:spacing w:val="9"/>
          <w:sz w:val="37"/>
          <w:szCs w:val="37"/>
        </w:rPr>
      </w:pPr>
      <w:r>
        <w:rPr>
          <w:rFonts w:ascii="微软雅黑" w:hAnsi="微软雅黑" w:eastAsia="微软雅黑" w:cs="微软雅黑"/>
          <w:color w:val="auto"/>
          <w:spacing w:val="9"/>
          <w:sz w:val="37"/>
          <w:szCs w:val="37"/>
        </w:rPr>
        <w:t>编制单位独立法人证照</w:t>
      </w:r>
    </w:p>
    <w:p w14:paraId="10E8C49E">
      <w:pPr>
        <w:spacing w:before="158" w:line="187" w:lineRule="auto"/>
        <w:ind w:left="2627"/>
        <w:jc w:val="both"/>
        <w:rPr>
          <w:rFonts w:hint="eastAsia" w:ascii="宋体" w:hAnsi="宋体" w:eastAsia="宋体" w:cs="宋体"/>
          <w:color w:val="auto"/>
          <w:spacing w:val="9"/>
          <w:sz w:val="24"/>
          <w:szCs w:val="24"/>
        </w:rPr>
      </w:pPr>
    </w:p>
    <w:p w14:paraId="5B90FFE8">
      <w:pPr>
        <w:rPr>
          <w:rFonts w:hint="eastAsia" w:ascii="微软雅黑" w:hAnsi="微软雅黑" w:eastAsia="微软雅黑" w:cs="微软雅黑"/>
          <w:color w:val="auto"/>
          <w:spacing w:val="9"/>
          <w:sz w:val="37"/>
          <w:szCs w:val="37"/>
          <w:lang w:eastAsia="zh-CN"/>
        </w:rPr>
      </w:pPr>
      <w:r>
        <w:rPr>
          <w:rFonts w:hint="eastAsia" w:ascii="微软雅黑" w:hAnsi="微软雅黑" w:eastAsia="微软雅黑" w:cs="微软雅黑"/>
          <w:color w:val="auto"/>
          <w:spacing w:val="9"/>
          <w:sz w:val="37"/>
          <w:szCs w:val="37"/>
          <w:lang w:eastAsia="zh-CN"/>
        </w:rPr>
        <w:drawing>
          <wp:inline distT="0" distB="0" distL="114300" distR="114300">
            <wp:extent cx="7814945" cy="5530850"/>
            <wp:effectExtent l="0" t="0" r="12700" b="14605"/>
            <wp:docPr id="101" name="图片 101" descr="1b8d0f104636a774c44b959d44943e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1b8d0f104636a774c44b959d44943e46"/>
                    <pic:cNvPicPr>
                      <a:picLocks noChangeAspect="1"/>
                    </pic:cNvPicPr>
                  </pic:nvPicPr>
                  <pic:blipFill>
                    <a:blip r:embed="rId8"/>
                    <a:stretch>
                      <a:fillRect/>
                    </a:stretch>
                  </pic:blipFill>
                  <pic:spPr>
                    <a:xfrm rot="16200000">
                      <a:off x="0" y="0"/>
                      <a:ext cx="7814945" cy="5530850"/>
                    </a:xfrm>
                    <a:prstGeom prst="rect">
                      <a:avLst/>
                    </a:prstGeom>
                  </pic:spPr>
                </pic:pic>
              </a:graphicData>
            </a:graphic>
          </wp:inline>
        </w:drawing>
      </w:r>
    </w:p>
    <w:p w14:paraId="5AD40A13">
      <w:pPr>
        <w:rPr>
          <w:rFonts w:ascii="微软雅黑" w:hAnsi="微软雅黑" w:eastAsia="微软雅黑" w:cs="微软雅黑"/>
          <w:color w:val="auto"/>
          <w:spacing w:val="9"/>
          <w:sz w:val="37"/>
          <w:szCs w:val="37"/>
        </w:rPr>
      </w:pPr>
      <w:r>
        <w:rPr>
          <w:rFonts w:ascii="微软雅黑" w:hAnsi="微软雅黑" w:eastAsia="微软雅黑" w:cs="微软雅黑"/>
          <w:color w:val="auto"/>
          <w:spacing w:val="9"/>
          <w:sz w:val="37"/>
          <w:szCs w:val="37"/>
        </w:rPr>
        <w:br w:type="page"/>
      </w:r>
    </w:p>
    <w:p w14:paraId="01DAA841">
      <w:pPr>
        <w:spacing w:line="247" w:lineRule="auto"/>
        <w:jc w:val="center"/>
        <w:rPr>
          <w:rFonts w:ascii="微软雅黑" w:hAnsi="微软雅黑" w:eastAsia="微软雅黑" w:cs="微软雅黑"/>
          <w:color w:val="auto"/>
          <w:spacing w:val="9"/>
          <w:sz w:val="37"/>
          <w:szCs w:val="37"/>
        </w:rPr>
      </w:pPr>
      <w:r>
        <w:rPr>
          <w:rFonts w:ascii="微软雅黑" w:hAnsi="微软雅黑" w:eastAsia="微软雅黑" w:cs="微软雅黑"/>
          <w:color w:val="auto"/>
          <w:spacing w:val="9"/>
          <w:sz w:val="37"/>
          <w:szCs w:val="37"/>
        </w:rPr>
        <w:t>编制主持人环境影响评价职业资格证书</w:t>
      </w:r>
    </w:p>
    <w:p w14:paraId="0024E081">
      <w:pPr>
        <w:ind w:left="0" w:leftChars="0" w:firstLine="0" w:firstLineChars="0"/>
        <w:jc w:val="center"/>
        <w:outlineLvl w:val="9"/>
        <w:rPr>
          <w:color w:val="auto"/>
        </w:rPr>
      </w:pPr>
      <w:r>
        <w:rPr>
          <w:rFonts w:hint="eastAsia" w:ascii="微软雅黑" w:hAnsi="微软雅黑" w:eastAsia="微软雅黑" w:cs="微软雅黑"/>
          <w:color w:val="auto"/>
          <w:spacing w:val="9"/>
          <w:sz w:val="37"/>
          <w:szCs w:val="37"/>
          <w:lang w:eastAsia="zh-CN"/>
        </w:rPr>
        <w:drawing>
          <wp:inline distT="0" distB="0" distL="114300" distR="114300">
            <wp:extent cx="5506085" cy="7785735"/>
            <wp:effectExtent l="0" t="0" r="18415" b="5715"/>
            <wp:docPr id="100" name="图片 100" descr="微信图片_2025-08-29_104609_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微信图片_2025-08-29_104609_042"/>
                    <pic:cNvPicPr>
                      <a:picLocks noChangeAspect="1"/>
                    </pic:cNvPicPr>
                  </pic:nvPicPr>
                  <pic:blipFill>
                    <a:blip r:embed="rId9"/>
                    <a:stretch>
                      <a:fillRect/>
                    </a:stretch>
                  </pic:blipFill>
                  <pic:spPr>
                    <a:xfrm>
                      <a:off x="0" y="0"/>
                      <a:ext cx="5506085" cy="7785735"/>
                    </a:xfrm>
                    <a:prstGeom prst="rect">
                      <a:avLst/>
                    </a:prstGeom>
                  </pic:spPr>
                </pic:pic>
              </a:graphicData>
            </a:graphic>
          </wp:inline>
        </w:drawing>
      </w:r>
    </w:p>
    <w:p w14:paraId="15B77DA9">
      <w:pPr>
        <w:rPr>
          <w:rFonts w:ascii="微软雅黑" w:hAnsi="微软雅黑" w:eastAsia="微软雅黑" w:cs="微软雅黑"/>
          <w:color w:val="auto"/>
          <w:spacing w:val="9"/>
          <w:sz w:val="37"/>
          <w:szCs w:val="37"/>
        </w:rPr>
      </w:pPr>
      <w:r>
        <w:rPr>
          <w:rFonts w:ascii="微软雅黑" w:hAnsi="微软雅黑" w:eastAsia="微软雅黑" w:cs="微软雅黑"/>
          <w:color w:val="auto"/>
          <w:spacing w:val="9"/>
          <w:sz w:val="37"/>
          <w:szCs w:val="37"/>
        </w:rPr>
        <w:br w:type="page"/>
      </w:r>
    </w:p>
    <w:p w14:paraId="0E70A75A">
      <w:pPr>
        <w:spacing w:before="159" w:line="186" w:lineRule="auto"/>
        <w:ind w:left="0" w:leftChars="0" w:firstLine="0" w:firstLineChars="0"/>
        <w:jc w:val="center"/>
        <w:rPr>
          <w:rFonts w:ascii="微软雅黑" w:hAnsi="微软雅黑" w:eastAsia="微软雅黑" w:cs="微软雅黑"/>
          <w:color w:val="auto"/>
          <w:sz w:val="37"/>
          <w:szCs w:val="37"/>
        </w:rPr>
      </w:pPr>
      <w:r>
        <w:rPr>
          <w:rFonts w:ascii="微软雅黑" w:hAnsi="微软雅黑" w:eastAsia="微软雅黑" w:cs="微软雅黑"/>
          <w:color w:val="auto"/>
          <w:spacing w:val="9"/>
          <w:sz w:val="37"/>
          <w:szCs w:val="37"/>
        </w:rPr>
        <w:t>编制主持人及主要编制人员目前全职情况证明</w:t>
      </w:r>
    </w:p>
    <w:p w14:paraId="4FBE41AA">
      <w:pPr>
        <w:spacing w:line="353" w:lineRule="auto"/>
        <w:rPr>
          <w:rFonts w:hint="eastAsia" w:ascii="Arial" w:eastAsia="宋体"/>
          <w:color w:val="auto"/>
          <w:sz w:val="21"/>
          <w:lang w:eastAsia="zh-CN"/>
        </w:rPr>
      </w:pPr>
    </w:p>
    <w:p w14:paraId="2CCC7C3C">
      <w:pPr>
        <w:keepNext/>
        <w:keepLines w:val="0"/>
        <w:pageBreakBefore w:val="0"/>
        <w:widowControl w:val="0"/>
        <w:kinsoku/>
        <w:wordWrap/>
        <w:overflowPunct w:val="0"/>
        <w:topLinePunct w:val="0"/>
        <w:autoSpaceDE/>
        <w:autoSpaceDN/>
        <w:bidi w:val="0"/>
        <w:adjustRightInd/>
        <w:snapToGrid w:val="0"/>
        <w:spacing w:before="0" w:after="0" w:line="240" w:lineRule="auto"/>
        <w:ind w:left="0" w:firstLine="0"/>
        <w:jc w:val="center"/>
        <w:textAlignment w:val="auto"/>
        <w:outlineLvl w:val="9"/>
        <w:rPr>
          <w:rFonts w:hint="eastAsia" w:eastAsia="黑体"/>
          <w:color w:val="auto"/>
          <w:lang w:eastAsia="zh-CN"/>
        </w:rPr>
      </w:pPr>
      <w:r>
        <w:rPr>
          <w:rFonts w:hint="eastAsia" w:eastAsia="黑体"/>
          <w:color w:val="auto"/>
          <w:lang w:eastAsia="zh-CN"/>
        </w:rPr>
        <w:drawing>
          <wp:inline distT="0" distB="0" distL="114300" distR="114300">
            <wp:extent cx="5448300" cy="7708900"/>
            <wp:effectExtent l="0" t="0" r="0" b="6350"/>
            <wp:docPr id="110" name="图片 110" descr="广东省社会保险个人参保证明(6)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广东省社会保险个人参保证明(6)_01"/>
                    <pic:cNvPicPr>
                      <a:picLocks noChangeAspect="1"/>
                    </pic:cNvPicPr>
                  </pic:nvPicPr>
                  <pic:blipFill>
                    <a:blip r:embed="rId10"/>
                    <a:stretch>
                      <a:fillRect/>
                    </a:stretch>
                  </pic:blipFill>
                  <pic:spPr>
                    <a:xfrm>
                      <a:off x="0" y="0"/>
                      <a:ext cx="5448300" cy="7708900"/>
                    </a:xfrm>
                    <a:prstGeom prst="rect">
                      <a:avLst/>
                    </a:prstGeom>
                  </pic:spPr>
                </pic:pic>
              </a:graphicData>
            </a:graphic>
          </wp:inline>
        </w:drawing>
      </w:r>
    </w:p>
    <w:p w14:paraId="67A6F395">
      <w:pPr>
        <w:bidi w:val="0"/>
        <w:jc w:val="left"/>
        <w:rPr>
          <w:rFonts w:hint="eastAsia"/>
          <w:color w:val="auto"/>
          <w:lang w:eastAsia="zh-CN"/>
        </w:rPr>
      </w:pPr>
    </w:p>
    <w:p w14:paraId="2BDA2922">
      <w:pPr>
        <w:spacing w:line="290" w:lineRule="auto"/>
        <w:outlineLvl w:val="9"/>
        <w:rPr>
          <w:rFonts w:hint="eastAsia" w:ascii="Arial" w:eastAsia="宋体"/>
          <w:color w:val="auto"/>
          <w:sz w:val="21"/>
          <w:lang w:eastAsia="zh-CN"/>
        </w:rPr>
      </w:pPr>
      <w:r>
        <w:rPr>
          <w:rFonts w:hint="eastAsia" w:ascii="Arial" w:eastAsia="宋体"/>
          <w:color w:val="auto"/>
          <w:sz w:val="21"/>
          <w:lang w:eastAsia="zh-CN"/>
        </w:rPr>
        <w:drawing>
          <wp:inline distT="0" distB="0" distL="114300" distR="114300">
            <wp:extent cx="5607685" cy="7931785"/>
            <wp:effectExtent l="0" t="0" r="12065" b="12065"/>
            <wp:docPr id="111" name="图片 111" descr="广东省社会保险个人参保证明(3)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广东省社会保险个人参保证明(3)_01"/>
                    <pic:cNvPicPr>
                      <a:picLocks noChangeAspect="1"/>
                    </pic:cNvPicPr>
                  </pic:nvPicPr>
                  <pic:blipFill>
                    <a:blip r:embed="rId11"/>
                    <a:stretch>
                      <a:fillRect/>
                    </a:stretch>
                  </pic:blipFill>
                  <pic:spPr>
                    <a:xfrm>
                      <a:off x="0" y="0"/>
                      <a:ext cx="5607685" cy="7931785"/>
                    </a:xfrm>
                    <a:prstGeom prst="rect">
                      <a:avLst/>
                    </a:prstGeom>
                  </pic:spPr>
                </pic:pic>
              </a:graphicData>
            </a:graphic>
          </wp:inline>
        </w:drawing>
      </w:r>
    </w:p>
    <w:p w14:paraId="02B70F65">
      <w:pPr>
        <w:rPr>
          <w:rFonts w:hint="eastAsia"/>
          <w:color w:val="auto"/>
          <w:lang w:eastAsia="zh-CN"/>
        </w:rPr>
      </w:pPr>
    </w:p>
    <w:p w14:paraId="392AA17B">
      <w:pPr>
        <w:bidi w:val="0"/>
        <w:jc w:val="left"/>
        <w:rPr>
          <w:rFonts w:hint="eastAsia"/>
          <w:color w:val="auto"/>
          <w:lang w:eastAsia="zh-CN"/>
        </w:rPr>
      </w:pPr>
    </w:p>
    <w:p w14:paraId="1386E8C1">
      <w:pPr>
        <w:rPr>
          <w:rFonts w:ascii="微软雅黑" w:hAnsi="微软雅黑" w:eastAsia="微软雅黑" w:cs="微软雅黑"/>
          <w:color w:val="auto"/>
          <w:spacing w:val="9"/>
          <w:position w:val="22"/>
          <w:sz w:val="37"/>
          <w:szCs w:val="37"/>
        </w:rPr>
      </w:pPr>
      <w:r>
        <w:rPr>
          <w:rFonts w:ascii="微软雅黑" w:hAnsi="微软雅黑" w:eastAsia="微软雅黑" w:cs="微软雅黑"/>
          <w:color w:val="auto"/>
          <w:spacing w:val="9"/>
          <w:position w:val="22"/>
          <w:sz w:val="37"/>
          <w:szCs w:val="37"/>
        </w:rPr>
        <w:br w:type="page"/>
      </w:r>
    </w:p>
    <w:p w14:paraId="68BEE42E">
      <w:pPr>
        <w:rPr>
          <w:rFonts w:ascii="Calibri" w:hAnsi="新宋体" w:eastAsia="新宋体" w:cs="Times New Roman"/>
          <w:b/>
          <w:color w:val="auto"/>
          <w:sz w:val="44"/>
          <w:szCs w:val="44"/>
        </w:rPr>
      </w:pPr>
    </w:p>
    <w:p w14:paraId="02927516">
      <w:pPr>
        <w:autoSpaceDE w:val="0"/>
        <w:autoSpaceDN w:val="0"/>
        <w:adjustRightInd w:val="0"/>
        <w:jc w:val="center"/>
        <w:rPr>
          <w:rFonts w:hint="eastAsia" w:ascii="Calibri" w:hAnsi="新宋体" w:eastAsia="新宋体" w:cs="Times New Roman"/>
          <w:b/>
          <w:color w:val="auto"/>
          <w:sz w:val="44"/>
          <w:szCs w:val="44"/>
        </w:rPr>
      </w:pPr>
      <w:r>
        <w:rPr>
          <w:rFonts w:ascii="Calibri" w:hAnsi="新宋体" w:eastAsia="新宋体" w:cs="Times New Roman"/>
          <w:b/>
          <w:color w:val="auto"/>
          <w:sz w:val="44"/>
          <w:szCs w:val="44"/>
        </w:rPr>
        <w:t>承</w:t>
      </w:r>
      <w:r>
        <w:rPr>
          <w:rFonts w:hint="eastAsia" w:ascii="Calibri" w:hAnsi="新宋体" w:eastAsia="新宋体" w:cs="Times New Roman"/>
          <w:b/>
          <w:color w:val="auto"/>
          <w:sz w:val="44"/>
          <w:szCs w:val="44"/>
        </w:rPr>
        <w:t xml:space="preserve"> </w:t>
      </w:r>
      <w:r>
        <w:rPr>
          <w:rFonts w:ascii="Calibri" w:hAnsi="新宋体" w:eastAsia="新宋体" w:cs="Times New Roman"/>
          <w:b/>
          <w:color w:val="auto"/>
          <w:sz w:val="44"/>
          <w:szCs w:val="44"/>
        </w:rPr>
        <w:t>诺</w:t>
      </w:r>
      <w:r>
        <w:rPr>
          <w:rFonts w:hint="eastAsia" w:ascii="Calibri" w:hAnsi="新宋体" w:eastAsia="新宋体" w:cs="Times New Roman"/>
          <w:b/>
          <w:color w:val="auto"/>
          <w:sz w:val="44"/>
          <w:szCs w:val="44"/>
        </w:rPr>
        <w:t xml:space="preserve"> </w:t>
      </w:r>
      <w:r>
        <w:rPr>
          <w:rFonts w:ascii="Calibri" w:hAnsi="新宋体" w:eastAsia="新宋体" w:cs="Times New Roman"/>
          <w:b/>
          <w:color w:val="auto"/>
          <w:sz w:val="44"/>
          <w:szCs w:val="44"/>
        </w:rPr>
        <w:t>书</w:t>
      </w:r>
    </w:p>
    <w:p w14:paraId="151794B8">
      <w:pPr>
        <w:autoSpaceDE w:val="0"/>
        <w:autoSpaceDN w:val="0"/>
        <w:adjustRightInd w:val="0"/>
        <w:jc w:val="center"/>
        <w:rPr>
          <w:rFonts w:hint="eastAsia" w:ascii="Calibri" w:hAnsi="Calibri" w:eastAsia="仿宋_GB2312" w:cs="Times New Roman"/>
          <w:color w:val="auto"/>
          <w:sz w:val="18"/>
          <w:szCs w:val="18"/>
        </w:rPr>
      </w:pPr>
    </w:p>
    <w:p w14:paraId="3C61D664">
      <w:pPr>
        <w:spacing w:line="360" w:lineRule="auto"/>
        <w:ind w:firstLine="560" w:firstLineChars="200"/>
        <w:jc w:val="left"/>
        <w:rPr>
          <w:rFonts w:ascii="Calibri" w:hAnsi="Calibri" w:eastAsia="仿宋_GB2312" w:cs="Times New Roman"/>
          <w:color w:val="auto"/>
          <w:sz w:val="28"/>
          <w:szCs w:val="28"/>
        </w:rPr>
      </w:pPr>
      <w:r>
        <w:rPr>
          <w:rFonts w:ascii="Calibri" w:hAnsi="Calibri" w:eastAsia="仿宋_GB2312" w:cs="Times New Roman"/>
          <w:color w:val="auto"/>
          <w:sz w:val="28"/>
          <w:szCs w:val="28"/>
        </w:rPr>
        <w:t>根据《中华人民共和国环境影响评价法》及相关法律法规，我单位对报批的</w:t>
      </w:r>
      <w:r>
        <w:rPr>
          <w:rFonts w:hint="eastAsia" w:ascii="仿宋" w:hAnsi="仿宋" w:eastAsia="仿宋" w:cs="仿宋"/>
          <w:color w:val="auto"/>
          <w:sz w:val="28"/>
          <w:szCs w:val="28"/>
          <w:u w:val="single"/>
          <w:lang w:eastAsia="zh-CN"/>
        </w:rPr>
        <w:t xml:space="preserve"> 冠霖环保建筑垃圾受纳场项目</w:t>
      </w:r>
      <w:r>
        <w:rPr>
          <w:rFonts w:ascii="Calibri" w:hAnsi="Calibri" w:eastAsia="仿宋_GB2312" w:cs="Times New Roman"/>
          <w:color w:val="auto"/>
          <w:sz w:val="28"/>
          <w:szCs w:val="28"/>
        </w:rPr>
        <w:t>环境影响评价文件作出如下承诺：</w:t>
      </w:r>
    </w:p>
    <w:p w14:paraId="2DB234A2">
      <w:pPr>
        <w:spacing w:line="360" w:lineRule="auto"/>
        <w:ind w:firstLine="560" w:firstLineChars="200"/>
        <w:jc w:val="left"/>
        <w:rPr>
          <w:rFonts w:hint="eastAsia" w:ascii="Calibri" w:hAnsi="Calibri" w:eastAsia="仿宋_GB2312" w:cs="Times New Roman"/>
          <w:color w:val="auto"/>
          <w:sz w:val="28"/>
          <w:szCs w:val="28"/>
        </w:rPr>
      </w:pPr>
      <w:r>
        <w:rPr>
          <w:rFonts w:ascii="Calibri" w:hAnsi="Calibri" w:eastAsia="仿宋_GB2312" w:cs="Times New Roman"/>
          <w:color w:val="auto"/>
          <w:sz w:val="28"/>
          <w:szCs w:val="28"/>
        </w:rPr>
        <w:t>1、我单位对提交的项目环境影响评价文件及相关材料</w:t>
      </w:r>
      <w:r>
        <w:rPr>
          <w:rFonts w:hint="eastAsia" w:ascii="Calibri" w:hAnsi="Calibri" w:eastAsia="仿宋_GB2312" w:cs="Times New Roman"/>
          <w:color w:val="auto"/>
          <w:sz w:val="28"/>
          <w:szCs w:val="28"/>
        </w:rPr>
        <w:t>（包括但不限于项目建设内容与规模、环境质量现状调查、相关监测数据）</w:t>
      </w:r>
      <w:r>
        <w:rPr>
          <w:rFonts w:ascii="Calibri" w:hAnsi="Calibri" w:eastAsia="仿宋_GB2312" w:cs="Times New Roman"/>
          <w:color w:val="auto"/>
          <w:sz w:val="28"/>
          <w:szCs w:val="28"/>
        </w:rPr>
        <w:t>的真实性、有效性负责</w:t>
      </w:r>
      <w:r>
        <w:rPr>
          <w:rFonts w:hint="eastAsia" w:ascii="Calibri" w:hAnsi="Calibri" w:eastAsia="仿宋_GB2312" w:cs="Times New Roman"/>
          <w:color w:val="auto"/>
          <w:sz w:val="28"/>
          <w:szCs w:val="28"/>
        </w:rPr>
        <w:t>。</w:t>
      </w:r>
    </w:p>
    <w:p w14:paraId="0351EBF7">
      <w:pPr>
        <w:spacing w:line="360" w:lineRule="auto"/>
        <w:ind w:firstLine="560" w:firstLineChars="200"/>
        <w:jc w:val="left"/>
        <w:rPr>
          <w:rFonts w:hint="eastAsia" w:ascii="Calibri" w:hAnsi="Calibri" w:eastAsia="仿宋_GB2312" w:cs="Times New Roman"/>
          <w:color w:val="auto"/>
          <w:sz w:val="28"/>
          <w:szCs w:val="28"/>
        </w:rPr>
      </w:pPr>
      <w:r>
        <w:rPr>
          <w:rFonts w:hint="eastAsia" w:ascii="Calibri" w:hAnsi="Calibri" w:eastAsia="仿宋_GB2312" w:cs="Times New Roman"/>
          <w:color w:val="auto"/>
          <w:sz w:val="28"/>
          <w:szCs w:val="28"/>
        </w:rPr>
        <w:t>2、我单位对本项目环评中公众参与的调查内容、对象及结果的真实性、有效性负责。</w:t>
      </w:r>
    </w:p>
    <w:p w14:paraId="0A7F2B5B">
      <w:pPr>
        <w:spacing w:line="360" w:lineRule="auto"/>
        <w:ind w:firstLine="560" w:firstLineChars="200"/>
        <w:jc w:val="left"/>
        <w:rPr>
          <w:rFonts w:ascii="Calibri" w:hAnsi="Calibri" w:eastAsia="仿宋_GB2312" w:cs="Times New Roman"/>
          <w:color w:val="auto"/>
          <w:sz w:val="28"/>
          <w:szCs w:val="28"/>
        </w:rPr>
      </w:pPr>
      <w:r>
        <w:rPr>
          <w:rFonts w:ascii="Calibri" w:hAnsi="Calibri" w:eastAsia="仿宋_GB2312" w:cs="Times New Roman"/>
          <w:color w:val="auto"/>
          <w:sz w:val="28"/>
          <w:szCs w:val="28"/>
        </w:rPr>
        <w:t>如违反上述事项</w:t>
      </w:r>
      <w:r>
        <w:rPr>
          <w:rFonts w:hint="eastAsia" w:ascii="Calibri" w:hAnsi="Calibri" w:eastAsia="仿宋_GB2312" w:cs="Times New Roman"/>
          <w:color w:val="auto"/>
          <w:sz w:val="28"/>
          <w:szCs w:val="28"/>
        </w:rPr>
        <w:t>造成</w:t>
      </w:r>
      <w:r>
        <w:rPr>
          <w:rFonts w:ascii="Calibri" w:hAnsi="Calibri" w:eastAsia="仿宋_GB2312" w:cs="Times New Roman"/>
          <w:color w:val="auto"/>
          <w:sz w:val="28"/>
          <w:szCs w:val="28"/>
        </w:rPr>
        <w:t>环境影响评价文件失实</w:t>
      </w:r>
      <w:r>
        <w:rPr>
          <w:rFonts w:hint="eastAsia" w:ascii="Calibri" w:hAnsi="Calibri" w:eastAsia="仿宋_GB2312" w:cs="Times New Roman"/>
          <w:color w:val="auto"/>
          <w:sz w:val="28"/>
          <w:szCs w:val="28"/>
        </w:rPr>
        <w:t>的</w:t>
      </w:r>
      <w:r>
        <w:rPr>
          <w:rFonts w:ascii="Calibri" w:hAnsi="Calibri" w:eastAsia="仿宋_GB2312" w:cs="Times New Roman"/>
          <w:color w:val="auto"/>
          <w:sz w:val="28"/>
          <w:szCs w:val="28"/>
        </w:rPr>
        <w:t>，我单位将承担由此引起的</w:t>
      </w:r>
      <w:r>
        <w:rPr>
          <w:rFonts w:hint="eastAsia" w:ascii="Calibri" w:hAnsi="Calibri" w:eastAsia="仿宋_GB2312" w:cs="Times New Roman"/>
          <w:color w:val="auto"/>
          <w:sz w:val="28"/>
          <w:szCs w:val="28"/>
        </w:rPr>
        <w:t>相关责任</w:t>
      </w:r>
      <w:r>
        <w:rPr>
          <w:rFonts w:ascii="Calibri" w:hAnsi="Calibri" w:eastAsia="仿宋_GB2312" w:cs="Times New Roman"/>
          <w:color w:val="auto"/>
          <w:sz w:val="28"/>
          <w:szCs w:val="28"/>
        </w:rPr>
        <w:t>。</w:t>
      </w:r>
    </w:p>
    <w:p w14:paraId="5A3A824B">
      <w:pPr>
        <w:spacing w:line="360" w:lineRule="auto"/>
        <w:ind w:firstLine="560" w:firstLineChars="200"/>
        <w:jc w:val="left"/>
        <w:rPr>
          <w:rFonts w:hint="eastAsia" w:ascii="Calibri" w:hAnsi="Calibri" w:eastAsia="仿宋_GB2312" w:cs="Times New Roman"/>
          <w:color w:val="auto"/>
          <w:sz w:val="28"/>
          <w:szCs w:val="28"/>
        </w:rPr>
      </w:pPr>
      <w:r>
        <w:rPr>
          <w:rFonts w:hint="eastAsia" w:ascii="Calibri" w:hAnsi="Calibri" w:eastAsia="仿宋_GB2312" w:cs="Times New Roman"/>
          <w:color w:val="auto"/>
          <w:sz w:val="28"/>
          <w:szCs w:val="28"/>
        </w:rPr>
        <w:t>3</w:t>
      </w:r>
      <w:r>
        <w:rPr>
          <w:rFonts w:ascii="Calibri" w:hAnsi="Calibri" w:eastAsia="仿宋_GB2312" w:cs="Times New Roman"/>
          <w:color w:val="auto"/>
          <w:sz w:val="28"/>
          <w:szCs w:val="28"/>
        </w:rPr>
        <w:t>、我单位确认该项目环境影响评价文件中提出的各项污染防治、生态保护与风险事故防范措施，认可其评价内容与评价结论。在项目施工期和营运期，严格按照环境影响评价文件及批复要求落实各项污染防治、生态保护与风险事故防范措施，并保证环境保护设施与主体工程同时设计、同时施工、同时投产使用，如因措施不当引起的环境影响或环境</w:t>
      </w:r>
      <w:r>
        <w:rPr>
          <w:rFonts w:hint="eastAsia" w:ascii="Calibri" w:hAnsi="Calibri" w:eastAsia="仿宋_GB2312" w:cs="Times New Roman"/>
          <w:color w:val="auto"/>
          <w:sz w:val="28"/>
          <w:szCs w:val="28"/>
        </w:rPr>
        <w:t>风险</w:t>
      </w:r>
      <w:r>
        <w:rPr>
          <w:rFonts w:ascii="Calibri" w:hAnsi="Calibri" w:eastAsia="仿宋_GB2312" w:cs="Times New Roman"/>
          <w:color w:val="auto"/>
          <w:sz w:val="28"/>
          <w:szCs w:val="28"/>
        </w:rPr>
        <w:t>事故责任由我单位承担。</w:t>
      </w:r>
    </w:p>
    <w:p w14:paraId="0EC7A97F">
      <w:pPr>
        <w:spacing w:line="360" w:lineRule="auto"/>
        <w:jc w:val="right"/>
        <w:rPr>
          <w:rFonts w:hint="eastAsia" w:ascii="Calibri" w:hAnsi="Calibri" w:eastAsia="仿宋_GB2312" w:cs="Times New Roman"/>
          <w:color w:val="auto"/>
          <w:sz w:val="28"/>
          <w:szCs w:val="28"/>
        </w:rPr>
      </w:pPr>
    </w:p>
    <w:p w14:paraId="36C1EB0B">
      <w:pPr>
        <w:spacing w:line="360" w:lineRule="auto"/>
        <w:jc w:val="right"/>
        <w:rPr>
          <w:rFonts w:hint="eastAsia" w:ascii="Calibri" w:hAnsi="Calibri" w:eastAsia="仿宋_GB2312" w:cs="Times New Roman"/>
          <w:color w:val="auto"/>
          <w:sz w:val="28"/>
          <w:szCs w:val="28"/>
        </w:rPr>
      </w:pPr>
      <w:r>
        <w:rPr>
          <w:rFonts w:ascii="Calibri" w:hAnsi="Calibri" w:eastAsia="仿宋_GB2312" w:cs="Times New Roman"/>
          <w:color w:val="auto"/>
          <w:sz w:val="28"/>
          <w:szCs w:val="28"/>
        </w:rPr>
        <w:t>建设单位</w:t>
      </w:r>
      <w:r>
        <w:rPr>
          <w:rFonts w:hint="eastAsia" w:ascii="Calibri" w:hAnsi="Calibri" w:eastAsia="仿宋_GB2312" w:cs="Times New Roman"/>
          <w:color w:val="auto"/>
          <w:sz w:val="28"/>
          <w:szCs w:val="28"/>
        </w:rPr>
        <w:t>：湛江冠霖环保有限责任公司</w:t>
      </w:r>
      <w:r>
        <w:rPr>
          <w:rFonts w:hint="eastAsia" w:ascii="仿宋_GB2312" w:hAnsi="仿宋_GB2312" w:eastAsia="仿宋_GB2312" w:cs="仿宋_GB2312"/>
          <w:color w:val="auto"/>
          <w:sz w:val="28"/>
          <w:szCs w:val="28"/>
          <w:u w:val="none"/>
        </w:rPr>
        <w:t xml:space="preserve"> </w:t>
      </w:r>
      <w:r>
        <w:rPr>
          <w:rFonts w:hint="eastAsia" w:ascii="仿宋_GB2312" w:hAnsi="仿宋_GB2312" w:eastAsia="仿宋_GB2312" w:cs="仿宋_GB2312"/>
          <w:color w:val="auto"/>
          <w:sz w:val="28"/>
          <w:szCs w:val="28"/>
        </w:rPr>
        <w:t xml:space="preserve">   </w:t>
      </w:r>
      <w:r>
        <w:rPr>
          <w:rFonts w:hint="eastAsia" w:ascii="Calibri" w:hAnsi="Calibri" w:eastAsia="仿宋_GB2312" w:cs="Times New Roman"/>
          <w:color w:val="auto"/>
          <w:sz w:val="28"/>
          <w:szCs w:val="28"/>
        </w:rPr>
        <w:t xml:space="preserve">  </w:t>
      </w:r>
    </w:p>
    <w:p w14:paraId="6B32ADB3">
      <w:pPr>
        <w:spacing w:line="360" w:lineRule="auto"/>
        <w:ind w:firstLine="4760" w:firstLineChars="1700"/>
        <w:jc w:val="both"/>
        <w:rPr>
          <w:rFonts w:ascii="仿宋" w:hAnsi="仿宋" w:eastAsia="仿宋" w:cs="仿宋"/>
          <w:color w:val="auto"/>
          <w:sz w:val="28"/>
          <w:szCs w:val="28"/>
        </w:rPr>
      </w:pPr>
      <w:r>
        <w:rPr>
          <w:rFonts w:hint="eastAsia" w:ascii="Calibri" w:hAnsi="Calibri" w:eastAsia="仿宋_GB2312" w:cs="Times New Roman"/>
          <w:color w:val="auto"/>
          <w:sz w:val="28"/>
          <w:szCs w:val="28"/>
        </w:rPr>
        <w:t xml:space="preserve">       </w:t>
      </w:r>
      <w:r>
        <w:rPr>
          <w:rFonts w:ascii="Calibri" w:hAnsi="Calibri" w:eastAsia="仿宋_GB2312" w:cs="Times New Roman"/>
          <w:color w:val="auto"/>
          <w:sz w:val="28"/>
          <w:szCs w:val="28"/>
        </w:rPr>
        <w:t>年</w:t>
      </w:r>
      <w:r>
        <w:rPr>
          <w:rFonts w:hint="eastAsia" w:ascii="Calibri" w:hAnsi="Calibri" w:eastAsia="仿宋_GB2312" w:cs="Times New Roman"/>
          <w:color w:val="auto"/>
          <w:sz w:val="28"/>
          <w:szCs w:val="28"/>
        </w:rPr>
        <w:t xml:space="preserve">    </w:t>
      </w:r>
      <w:r>
        <w:rPr>
          <w:rFonts w:ascii="Calibri" w:hAnsi="Calibri" w:eastAsia="仿宋_GB2312" w:cs="Times New Roman"/>
          <w:color w:val="auto"/>
          <w:sz w:val="28"/>
          <w:szCs w:val="28"/>
        </w:rPr>
        <w:t>月</w:t>
      </w:r>
      <w:r>
        <w:rPr>
          <w:rFonts w:hint="eastAsia" w:ascii="Calibri" w:hAnsi="Calibri" w:eastAsia="仿宋_GB2312" w:cs="Times New Roman"/>
          <w:color w:val="auto"/>
          <w:sz w:val="28"/>
          <w:szCs w:val="28"/>
        </w:rPr>
        <w:t xml:space="preserve">    日</w:t>
      </w:r>
    </w:p>
    <w:p w14:paraId="6A2430E7">
      <w:pPr>
        <w:spacing w:line="360" w:lineRule="auto"/>
        <w:rPr>
          <w:rFonts w:hint="eastAsia"/>
          <w:color w:val="auto"/>
          <w:lang w:eastAsia="zh-CN"/>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numberInDash" w:start="3"/>
          <w:cols w:space="720" w:num="1"/>
          <w:docGrid w:linePitch="312" w:charSpace="0"/>
        </w:sectPr>
      </w:pPr>
    </w:p>
    <w:sdt>
      <w:sdtPr>
        <w:rPr>
          <w:rFonts w:hint="default" w:ascii="Times New Roman" w:hAnsi="Times New Roman" w:eastAsia="宋体" w:cs="Times New Roman"/>
          <w:color w:val="auto"/>
          <w:kern w:val="2"/>
          <w:sz w:val="28"/>
          <w:szCs w:val="28"/>
          <w:lang w:val="en-US" w:eastAsia="zh-CN" w:bidi="ar-SA"/>
        </w:rPr>
        <w:id w:val="147463567"/>
        <w15:color w:val="DBDBDB"/>
        <w:docPartObj>
          <w:docPartGallery w:val="Table of Contents"/>
          <w:docPartUnique/>
        </w:docPartObj>
      </w:sdtPr>
      <w:sdtEndPr>
        <w:rPr>
          <w:rFonts w:hint="eastAsia" w:ascii="宋体" w:hAnsi="宋体" w:eastAsia="宋体" w:cs="宋体"/>
          <w:color w:val="auto"/>
          <w:spacing w:val="-4"/>
          <w:kern w:val="0"/>
          <w:sz w:val="24"/>
          <w:szCs w:val="24"/>
          <w:lang w:val="zh-CN" w:eastAsia="zh-CN" w:bidi="ar-SA"/>
        </w:rPr>
      </w:sdtEndPr>
      <w:sdtContent>
        <w:p w14:paraId="49ACB421">
          <w:pPr>
            <w:pageBreakBefore w:val="0"/>
            <w:widowControl w:val="0"/>
            <w:kinsoku/>
            <w:wordWrap/>
            <w:overflowPunct/>
            <w:topLinePunct w:val="0"/>
            <w:bidi w:val="0"/>
            <w:spacing w:line="360" w:lineRule="auto"/>
            <w:ind w:left="0" w:leftChars="0" w:right="0" w:rightChars="0" w:firstLine="0" w:firstLineChars="0"/>
            <w:jc w:val="cente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目录</w:t>
          </w:r>
        </w:p>
        <w:p w14:paraId="0CF95919">
          <w:pPr>
            <w:pStyle w:val="28"/>
            <w:pageBreakBefore w:val="0"/>
            <w:widowControl w:val="0"/>
            <w:tabs>
              <w:tab w:val="right" w:leader="dot" w:pos="8844"/>
            </w:tabs>
            <w:kinsoku/>
            <w:wordWrap/>
            <w:overflowPunct/>
            <w:topLinePunct w:val="0"/>
            <w:bidi w:val="0"/>
            <w:spacing w:line="360" w:lineRule="auto"/>
            <w:rPr>
              <w:rFonts w:hint="default" w:ascii="Times New Roman" w:hAnsi="Times New Roman" w:cs="Times New Roman"/>
              <w:color w:val="auto"/>
              <w:sz w:val="24"/>
              <w:szCs w:val="24"/>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TOC \o "1-1" \h \u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_Toc32120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snapToGrid w:val="0"/>
              <w:color w:val="auto"/>
              <w:sz w:val="24"/>
              <w:szCs w:val="24"/>
            </w:rPr>
            <w:t>一、建设项目基本情况</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_Toc32120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- 2 -</w:t>
          </w:r>
          <w:r>
            <w:rPr>
              <w:rFonts w:hint="default" w:ascii="Times New Roman" w:hAnsi="Times New Roman"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14:paraId="198272AA">
          <w:pPr>
            <w:pStyle w:val="28"/>
            <w:pageBreakBefore w:val="0"/>
            <w:widowControl w:val="0"/>
            <w:tabs>
              <w:tab w:val="right" w:leader="dot" w:pos="8844"/>
            </w:tabs>
            <w:kinsoku/>
            <w:wordWrap/>
            <w:overflowPunct/>
            <w:topLinePunct w:val="0"/>
            <w:bidi w:val="0"/>
            <w:spacing w:line="360" w:lineRule="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_Toc28056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snapToGrid w:val="0"/>
              <w:color w:val="auto"/>
              <w:sz w:val="24"/>
              <w:szCs w:val="24"/>
            </w:rPr>
            <w:t>二、建设项目工程分析</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_Toc28056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- 15 -</w:t>
          </w:r>
          <w:r>
            <w:rPr>
              <w:rFonts w:hint="default" w:ascii="Times New Roman" w:hAnsi="Times New Roman"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14:paraId="7A604CDF">
          <w:pPr>
            <w:pStyle w:val="28"/>
            <w:pageBreakBefore w:val="0"/>
            <w:widowControl w:val="0"/>
            <w:tabs>
              <w:tab w:val="right" w:leader="dot" w:pos="8844"/>
            </w:tabs>
            <w:kinsoku/>
            <w:wordWrap/>
            <w:overflowPunct/>
            <w:topLinePunct w:val="0"/>
            <w:bidi w:val="0"/>
            <w:spacing w:line="360" w:lineRule="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_Toc19913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snapToGrid w:val="0"/>
              <w:color w:val="auto"/>
              <w:sz w:val="24"/>
              <w:szCs w:val="24"/>
            </w:rPr>
            <w:t>三、区域环境质量现状、环境保护目标及评价标准</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_Toc19913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- 20 -</w:t>
          </w:r>
          <w:r>
            <w:rPr>
              <w:rFonts w:hint="default" w:ascii="Times New Roman" w:hAnsi="Times New Roman"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14:paraId="17449998">
          <w:pPr>
            <w:pStyle w:val="28"/>
            <w:pageBreakBefore w:val="0"/>
            <w:widowControl w:val="0"/>
            <w:tabs>
              <w:tab w:val="right" w:leader="dot" w:pos="8844"/>
            </w:tabs>
            <w:kinsoku/>
            <w:wordWrap/>
            <w:overflowPunct/>
            <w:topLinePunct w:val="0"/>
            <w:bidi w:val="0"/>
            <w:spacing w:line="360" w:lineRule="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_Toc8056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snapToGrid w:val="0"/>
              <w:color w:val="auto"/>
              <w:sz w:val="24"/>
              <w:szCs w:val="24"/>
            </w:rPr>
            <w:t>四、主要环境影响和保护措施</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_Toc8056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- 28 -</w:t>
          </w:r>
          <w:r>
            <w:rPr>
              <w:rFonts w:hint="default" w:ascii="Times New Roman" w:hAnsi="Times New Roman"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14:paraId="6B76BE9B">
          <w:pPr>
            <w:pStyle w:val="28"/>
            <w:pageBreakBefore w:val="0"/>
            <w:widowControl w:val="0"/>
            <w:tabs>
              <w:tab w:val="right" w:leader="dot" w:pos="8844"/>
            </w:tabs>
            <w:kinsoku/>
            <w:wordWrap/>
            <w:overflowPunct/>
            <w:topLinePunct w:val="0"/>
            <w:bidi w:val="0"/>
            <w:spacing w:line="360" w:lineRule="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_Toc2012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snapToGrid w:val="0"/>
              <w:color w:val="auto"/>
              <w:sz w:val="24"/>
              <w:szCs w:val="24"/>
            </w:rPr>
            <w:t>五、环境保护措施监督检查清单</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_Toc2012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- 40 -</w:t>
          </w:r>
          <w:r>
            <w:rPr>
              <w:rFonts w:hint="default" w:ascii="Times New Roman" w:hAnsi="Times New Roman"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14:paraId="5B42D11C">
          <w:pPr>
            <w:pStyle w:val="28"/>
            <w:pageBreakBefore w:val="0"/>
            <w:widowControl w:val="0"/>
            <w:tabs>
              <w:tab w:val="right" w:leader="dot" w:pos="8844"/>
            </w:tabs>
            <w:kinsoku/>
            <w:wordWrap/>
            <w:overflowPunct/>
            <w:topLinePunct w:val="0"/>
            <w:bidi w:val="0"/>
            <w:spacing w:line="360" w:lineRule="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\l _Toc22984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snapToGrid w:val="0"/>
              <w:color w:val="auto"/>
              <w:sz w:val="24"/>
              <w:szCs w:val="24"/>
            </w:rPr>
            <w:t>六、结论</w:t>
          </w:r>
          <w:r>
            <w:rPr>
              <w:rFonts w:hint="default" w:ascii="Times New Roman" w:hAnsi="Times New Roman" w:cs="Times New Roman"/>
              <w:color w:val="auto"/>
              <w:sz w:val="24"/>
              <w:szCs w:val="24"/>
            </w:rPr>
            <w:tab/>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PAGEREF _Toc22984 \h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- 42 -</w:t>
          </w:r>
          <w:r>
            <w:rPr>
              <w:rFonts w:hint="default" w:ascii="Times New Roman" w:hAnsi="Times New Roman" w:cs="Times New Roman"/>
              <w:color w:val="auto"/>
              <w:sz w:val="24"/>
              <w:szCs w:val="24"/>
            </w:rPr>
            <w:fldChar w:fldCharType="end"/>
          </w:r>
          <w:r>
            <w:rPr>
              <w:rFonts w:hint="default" w:ascii="Times New Roman" w:hAnsi="Times New Roman" w:eastAsia="宋体" w:cs="Times New Roman"/>
              <w:color w:val="auto"/>
              <w:sz w:val="24"/>
              <w:szCs w:val="24"/>
            </w:rPr>
            <w:fldChar w:fldCharType="end"/>
          </w:r>
        </w:p>
        <w:p w14:paraId="493504FB">
          <w:pPr>
            <w:pStyle w:val="44"/>
            <w:pageBreakBefore w:val="0"/>
            <w:widowControl w:val="0"/>
            <w:kinsoku/>
            <w:wordWrap/>
            <w:overflowPunct/>
            <w:topLinePunct w:val="0"/>
            <w:bidi w:val="0"/>
            <w:spacing w:before="0" w:beforeLines="0" w:after="0" w:afterLines="0" w:line="360" w:lineRule="auto"/>
            <w:ind w:left="0" w:leftChars="0" w:firstLine="0" w:firstLineChars="0"/>
            <w:jc w:val="both"/>
            <w:outlineLvl w:val="0"/>
            <w:rPr>
              <w:color w:val="auto"/>
            </w:rPr>
          </w:pPr>
          <w:r>
            <w:rPr>
              <w:rFonts w:hint="default" w:ascii="Times New Roman" w:hAnsi="Times New Roman" w:eastAsia="宋体" w:cs="Times New Roman"/>
              <w:color w:val="auto"/>
              <w:sz w:val="28"/>
              <w:szCs w:val="28"/>
            </w:rPr>
            <w:fldChar w:fldCharType="end"/>
          </w:r>
          <w:bookmarkStart w:id="10" w:name="_Toc15015"/>
        </w:p>
      </w:sdtContent>
    </w:sdt>
    <w:p w14:paraId="4D6B5C41">
      <w:pPr>
        <w:rPr>
          <w:rFonts w:hint="default" w:ascii="Times New Roman" w:hAnsi="Times New Roman" w:eastAsia="宋体" w:cs="Times New Roman"/>
          <w:snapToGrid w:val="0"/>
          <w:color w:val="auto"/>
          <w:sz w:val="30"/>
          <w:szCs w:val="30"/>
        </w:rPr>
      </w:pPr>
      <w:bookmarkStart w:id="11" w:name="_Toc32120"/>
      <w:r>
        <w:rPr>
          <w:rFonts w:hint="default" w:ascii="Times New Roman" w:hAnsi="Times New Roman" w:eastAsia="宋体" w:cs="Times New Roman"/>
          <w:snapToGrid w:val="0"/>
          <w:color w:val="auto"/>
          <w:sz w:val="30"/>
          <w:szCs w:val="30"/>
        </w:rPr>
        <w:br w:type="page"/>
      </w:r>
    </w:p>
    <w:p w14:paraId="3A9A51D8">
      <w:pPr>
        <w:pStyle w:val="44"/>
        <w:pageBreakBefore w:val="0"/>
        <w:widowControl w:val="0"/>
        <w:kinsoku/>
        <w:wordWrap/>
        <w:overflowPunct/>
        <w:topLinePunct w:val="0"/>
        <w:bidi w:val="0"/>
        <w:spacing w:before="0" w:beforeLines="0" w:after="0" w:afterLines="0" w:line="360" w:lineRule="auto"/>
        <w:ind w:left="0" w:leftChars="0" w:firstLine="0" w:firstLineChars="0"/>
        <w:jc w:val="center"/>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sz w:val="30"/>
          <w:szCs w:val="30"/>
        </w:rPr>
        <w:t>一、建设项目基本情况</w:t>
      </w:r>
      <w:bookmarkEnd w:id="10"/>
      <w:bookmarkEnd w:id="11"/>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594"/>
        <w:gridCol w:w="2710"/>
        <w:gridCol w:w="1927"/>
        <w:gridCol w:w="2639"/>
      </w:tblGrid>
      <w:tr w14:paraId="6DA11E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1594" w:type="dxa"/>
            <w:tcMar>
              <w:top w:w="16" w:type="dxa"/>
              <w:left w:w="16" w:type="dxa"/>
              <w:right w:w="16" w:type="dxa"/>
            </w:tcMar>
            <w:vAlign w:val="center"/>
          </w:tcPr>
          <w:p w14:paraId="2D1A10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建设项目名称</w:t>
            </w:r>
          </w:p>
        </w:tc>
        <w:tc>
          <w:tcPr>
            <w:tcW w:w="7276" w:type="dxa"/>
            <w:gridSpan w:val="3"/>
            <w:vAlign w:val="center"/>
          </w:tcPr>
          <w:p w14:paraId="622CDAD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冠霖环保建筑垃圾受纳场项目</w:t>
            </w:r>
          </w:p>
        </w:tc>
      </w:tr>
      <w:tr w14:paraId="100EA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94" w:type="dxa"/>
            <w:tcMar>
              <w:top w:w="16" w:type="dxa"/>
              <w:left w:w="16" w:type="dxa"/>
              <w:right w:w="16" w:type="dxa"/>
            </w:tcMar>
            <w:vAlign w:val="center"/>
          </w:tcPr>
          <w:p w14:paraId="5690CE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shd w:val="clear"/>
              </w:rPr>
              <w:t>项目代码</w:t>
            </w:r>
          </w:p>
        </w:tc>
        <w:tc>
          <w:tcPr>
            <w:tcW w:w="7276" w:type="dxa"/>
            <w:gridSpan w:val="3"/>
            <w:vAlign w:val="center"/>
          </w:tcPr>
          <w:p w14:paraId="1BFE65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w:t>
            </w:r>
          </w:p>
        </w:tc>
      </w:tr>
      <w:tr w14:paraId="6CCFD4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94" w:type="dxa"/>
            <w:tcMar>
              <w:top w:w="16" w:type="dxa"/>
              <w:left w:w="16" w:type="dxa"/>
              <w:right w:w="16" w:type="dxa"/>
            </w:tcMar>
            <w:vAlign w:val="center"/>
          </w:tcPr>
          <w:p w14:paraId="3BCDE5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建设单位联系人</w:t>
            </w:r>
          </w:p>
        </w:tc>
        <w:tc>
          <w:tcPr>
            <w:tcW w:w="2710" w:type="dxa"/>
            <w:vAlign w:val="center"/>
          </w:tcPr>
          <w:p w14:paraId="09B465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黄钦模</w:t>
            </w:r>
          </w:p>
        </w:tc>
        <w:tc>
          <w:tcPr>
            <w:tcW w:w="1927" w:type="dxa"/>
            <w:vAlign w:val="center"/>
          </w:tcPr>
          <w:p w14:paraId="61BF18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联系方式</w:t>
            </w:r>
          </w:p>
        </w:tc>
        <w:tc>
          <w:tcPr>
            <w:tcW w:w="2639" w:type="dxa"/>
            <w:vAlign w:val="center"/>
          </w:tcPr>
          <w:p w14:paraId="06954F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w:t>
            </w:r>
          </w:p>
        </w:tc>
      </w:tr>
      <w:tr w14:paraId="2146D1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94" w:type="dxa"/>
            <w:tcMar>
              <w:top w:w="16" w:type="dxa"/>
              <w:left w:w="16" w:type="dxa"/>
              <w:right w:w="16" w:type="dxa"/>
            </w:tcMar>
            <w:vAlign w:val="center"/>
          </w:tcPr>
          <w:p w14:paraId="3A1631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建设地点</w:t>
            </w:r>
          </w:p>
        </w:tc>
        <w:tc>
          <w:tcPr>
            <w:tcW w:w="7276" w:type="dxa"/>
            <w:gridSpan w:val="3"/>
            <w:vAlign w:val="center"/>
          </w:tcPr>
          <w:p w14:paraId="19B55E4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szCs w:val="24"/>
                <w:u w:val="single"/>
                <w:lang w:eastAsia="zh-CN"/>
              </w:rPr>
            </w:pPr>
            <w:r>
              <w:rPr>
                <w:rFonts w:hint="default" w:ascii="Times New Roman" w:hAnsi="Times New Roman" w:eastAsia="宋体" w:cs="Times New Roman"/>
                <w:color w:val="auto"/>
                <w:sz w:val="24"/>
                <w:szCs w:val="24"/>
                <w:u w:val="single"/>
              </w:rPr>
              <w:t>广东</w:t>
            </w:r>
            <w:r>
              <w:rPr>
                <w:rFonts w:hint="default" w:ascii="Times New Roman" w:hAnsi="Times New Roman" w:eastAsia="宋体" w:cs="Times New Roman"/>
                <w:color w:val="auto"/>
                <w:sz w:val="24"/>
                <w:szCs w:val="24"/>
              </w:rPr>
              <w:t>省</w:t>
            </w:r>
            <w:r>
              <w:rPr>
                <w:rFonts w:hint="eastAsia" w:ascii="Times New Roman" w:hAnsi="Times New Roman" w:eastAsia="宋体" w:cs="Times New Roman"/>
                <w:color w:val="auto"/>
                <w:sz w:val="24"/>
                <w:szCs w:val="24"/>
                <w:u w:val="single"/>
                <w:lang w:val="en-US" w:eastAsia="zh-CN"/>
              </w:rPr>
              <w:t>廉江</w:t>
            </w:r>
            <w:r>
              <w:rPr>
                <w:rFonts w:hint="default" w:ascii="Times New Roman" w:hAnsi="Times New Roman" w:eastAsia="宋体" w:cs="Times New Roman"/>
                <w:color w:val="auto"/>
                <w:sz w:val="24"/>
                <w:szCs w:val="24"/>
              </w:rPr>
              <w:t>市</w:t>
            </w:r>
            <w:r>
              <w:rPr>
                <w:rFonts w:hint="default" w:ascii="Times New Roman" w:hAnsi="Times New Roman" w:eastAsia="宋体" w:cs="Times New Roman"/>
                <w:color w:val="auto"/>
                <w:sz w:val="24"/>
                <w:szCs w:val="24"/>
                <w:u w:val="single"/>
              </w:rPr>
              <w:t>高桥镇大冲村村委横冲村旁高岭土厂</w:t>
            </w:r>
          </w:p>
        </w:tc>
      </w:tr>
      <w:tr w14:paraId="1B2A91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94" w:type="dxa"/>
            <w:tcMar>
              <w:top w:w="16" w:type="dxa"/>
              <w:left w:w="16" w:type="dxa"/>
              <w:right w:w="16" w:type="dxa"/>
            </w:tcMar>
            <w:vAlign w:val="center"/>
          </w:tcPr>
          <w:p w14:paraId="00494E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地理坐标</w:t>
            </w:r>
          </w:p>
        </w:tc>
        <w:tc>
          <w:tcPr>
            <w:tcW w:w="7276" w:type="dxa"/>
            <w:gridSpan w:val="3"/>
            <w:vAlign w:val="center"/>
          </w:tcPr>
          <w:p w14:paraId="4CFB500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东经：109</w:t>
            </w:r>
            <w:r>
              <w:rPr>
                <w:rFonts w:hint="default" w:ascii="Times New Roman" w:hAnsi="Times New Roman" w:eastAsia="宋体" w:cs="Times New Roman"/>
                <w:color w:val="auto"/>
                <w:sz w:val="24"/>
                <w:szCs w:val="24"/>
              </w:rPr>
              <w:t>度</w:t>
            </w:r>
            <w:r>
              <w:rPr>
                <w:rFonts w:hint="eastAsia" w:ascii="Times New Roman" w:hAnsi="Times New Roman" w:eastAsia="宋体" w:cs="Times New Roman"/>
                <w:color w:val="auto"/>
                <w:sz w:val="24"/>
                <w:szCs w:val="24"/>
                <w:lang w:val="en-US" w:eastAsia="zh-CN"/>
              </w:rPr>
              <w:t>46</w:t>
            </w:r>
            <w:r>
              <w:rPr>
                <w:rFonts w:hint="default" w:ascii="Times New Roman" w:hAnsi="Times New Roman" w:eastAsia="宋体" w:cs="Times New Roman"/>
                <w:color w:val="auto"/>
                <w:sz w:val="24"/>
                <w:szCs w:val="24"/>
              </w:rPr>
              <w:t>分</w:t>
            </w:r>
            <w:r>
              <w:rPr>
                <w:rFonts w:hint="eastAsia" w:ascii="Times New Roman" w:hAnsi="Times New Roman" w:eastAsia="宋体" w:cs="Times New Roman"/>
                <w:color w:val="auto"/>
                <w:sz w:val="24"/>
                <w:szCs w:val="24"/>
                <w:lang w:val="en-US" w:eastAsia="zh-CN"/>
              </w:rPr>
              <w:t>31.814</w:t>
            </w:r>
            <w:r>
              <w:rPr>
                <w:rFonts w:hint="default" w:ascii="Times New Roman" w:hAnsi="Times New Roman" w:eastAsia="宋体" w:cs="Times New Roman"/>
                <w:color w:val="auto"/>
                <w:sz w:val="24"/>
                <w:szCs w:val="24"/>
              </w:rPr>
              <w:t>秒，</w:t>
            </w:r>
            <w:r>
              <w:rPr>
                <w:rFonts w:hint="eastAsia" w:ascii="Times New Roman" w:hAnsi="Times New Roman" w:eastAsia="宋体" w:cs="Times New Roman"/>
                <w:color w:val="auto"/>
                <w:sz w:val="24"/>
                <w:szCs w:val="24"/>
                <w:lang w:val="en-US" w:eastAsia="zh-CN"/>
              </w:rPr>
              <w:t>北纬：21</w:t>
            </w:r>
            <w:r>
              <w:rPr>
                <w:rFonts w:hint="default" w:ascii="Times New Roman" w:hAnsi="Times New Roman" w:eastAsia="宋体" w:cs="Times New Roman"/>
                <w:color w:val="auto"/>
                <w:sz w:val="24"/>
                <w:szCs w:val="24"/>
              </w:rPr>
              <w:t>度</w:t>
            </w:r>
            <w:r>
              <w:rPr>
                <w:rFonts w:hint="eastAsia" w:ascii="Times New Roman" w:hAnsi="Times New Roman" w:eastAsia="宋体" w:cs="Times New Roman"/>
                <w:color w:val="auto"/>
                <w:sz w:val="24"/>
                <w:szCs w:val="24"/>
                <w:lang w:val="en-US" w:eastAsia="zh-CN"/>
              </w:rPr>
              <w:t>37</w:t>
            </w:r>
            <w:r>
              <w:rPr>
                <w:rFonts w:hint="default" w:ascii="Times New Roman" w:hAnsi="Times New Roman" w:eastAsia="宋体" w:cs="Times New Roman"/>
                <w:color w:val="auto"/>
                <w:sz w:val="24"/>
                <w:szCs w:val="24"/>
              </w:rPr>
              <w:t>分</w:t>
            </w:r>
            <w:r>
              <w:rPr>
                <w:rFonts w:hint="eastAsia" w:ascii="Times New Roman" w:hAnsi="Times New Roman" w:eastAsia="宋体" w:cs="Times New Roman"/>
                <w:color w:val="auto"/>
                <w:sz w:val="24"/>
                <w:szCs w:val="24"/>
                <w:lang w:val="en-US" w:eastAsia="zh-CN"/>
              </w:rPr>
              <w:t>8.223</w:t>
            </w:r>
            <w:r>
              <w:rPr>
                <w:rFonts w:hint="default" w:ascii="Times New Roman" w:hAnsi="Times New Roman" w:eastAsia="宋体" w:cs="Times New Roman"/>
                <w:color w:val="auto"/>
                <w:sz w:val="24"/>
                <w:szCs w:val="24"/>
              </w:rPr>
              <w:t>秒）</w:t>
            </w:r>
          </w:p>
        </w:tc>
      </w:tr>
      <w:tr w14:paraId="0B8B30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594" w:type="dxa"/>
            <w:tcMar>
              <w:top w:w="16" w:type="dxa"/>
              <w:left w:w="16" w:type="dxa"/>
              <w:right w:w="16" w:type="dxa"/>
            </w:tcMar>
            <w:vAlign w:val="center"/>
          </w:tcPr>
          <w:p w14:paraId="52D3C4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国民经济</w:t>
            </w:r>
          </w:p>
          <w:p w14:paraId="591BED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行业类别</w:t>
            </w:r>
          </w:p>
        </w:tc>
        <w:tc>
          <w:tcPr>
            <w:tcW w:w="2710" w:type="dxa"/>
            <w:vAlign w:val="center"/>
          </w:tcPr>
          <w:p w14:paraId="3BD25D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N7723 固体废物治理</w:t>
            </w:r>
          </w:p>
        </w:tc>
        <w:tc>
          <w:tcPr>
            <w:tcW w:w="1927" w:type="dxa"/>
            <w:vAlign w:val="center"/>
          </w:tcPr>
          <w:p w14:paraId="301540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rPr>
            </w:pPr>
            <w:bookmarkStart w:id="12" w:name="_Hlk49843745"/>
            <w:r>
              <w:rPr>
                <w:rFonts w:hint="default" w:ascii="Times New Roman" w:hAnsi="Times New Roman" w:eastAsia="宋体" w:cs="Times New Roman"/>
                <w:color w:val="auto"/>
                <w:sz w:val="24"/>
                <w:szCs w:val="24"/>
                <w:highlight w:val="none"/>
              </w:rPr>
              <w:t>建设项目</w:t>
            </w:r>
          </w:p>
          <w:p w14:paraId="242D69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行业类别</w:t>
            </w:r>
            <w:bookmarkEnd w:id="12"/>
          </w:p>
        </w:tc>
        <w:tc>
          <w:tcPr>
            <w:tcW w:w="2639" w:type="dxa"/>
            <w:vAlign w:val="center"/>
          </w:tcPr>
          <w:p w14:paraId="45B64F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四十七、生态保护和环境治理业-103、一 般 工 业 固 体 废 物（含污水处理污泥）、建筑施工废弃物处置及综合利用-其他</w:t>
            </w:r>
          </w:p>
        </w:tc>
      </w:tr>
      <w:tr w14:paraId="369E5D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594" w:type="dxa"/>
            <w:tcMar>
              <w:top w:w="16" w:type="dxa"/>
              <w:left w:w="16" w:type="dxa"/>
              <w:right w:w="16" w:type="dxa"/>
            </w:tcMar>
            <w:vAlign w:val="center"/>
          </w:tcPr>
          <w:p w14:paraId="5B7DC3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建设性质</w:t>
            </w:r>
          </w:p>
        </w:tc>
        <w:tc>
          <w:tcPr>
            <w:tcW w:w="2710" w:type="dxa"/>
            <w:vAlign w:val="center"/>
          </w:tcPr>
          <w:p w14:paraId="513BEC17">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☑新建（迁建）</w:t>
            </w:r>
          </w:p>
          <w:p w14:paraId="6DD483A7">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□改建</w:t>
            </w:r>
          </w:p>
          <w:p w14:paraId="7259460F">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□扩建</w:t>
            </w:r>
          </w:p>
          <w:p w14:paraId="3DC9BAD0">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□技术改造</w:t>
            </w:r>
          </w:p>
        </w:tc>
        <w:tc>
          <w:tcPr>
            <w:tcW w:w="1927" w:type="dxa"/>
            <w:vAlign w:val="center"/>
          </w:tcPr>
          <w:p w14:paraId="70AC89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w:t>
            </w:r>
          </w:p>
          <w:p w14:paraId="473D67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申报情形</w:t>
            </w:r>
          </w:p>
        </w:tc>
        <w:tc>
          <w:tcPr>
            <w:tcW w:w="2639" w:type="dxa"/>
            <w:vAlign w:val="center"/>
          </w:tcPr>
          <w:p w14:paraId="2D34676F">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☑首次申报项目             </w:t>
            </w:r>
          </w:p>
          <w:p w14:paraId="3A24633F">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□不予批准后再次申报项目</w:t>
            </w:r>
          </w:p>
          <w:p w14:paraId="6B24FABB">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□超五年重新审核项目     </w:t>
            </w:r>
          </w:p>
          <w:p w14:paraId="24879435">
            <w:pPr>
              <w:keepNext w:val="0"/>
              <w:keepLines w:val="0"/>
              <w:suppressLineNumbers w:val="0"/>
              <w:spacing w:before="0" w:beforeAutospacing="0" w:after="0" w:afterAutospacing="0"/>
              <w:ind w:left="0" w:right="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□重大变动重新报批项目</w:t>
            </w:r>
          </w:p>
        </w:tc>
      </w:tr>
      <w:tr w14:paraId="1BA15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94" w:type="dxa"/>
            <w:tcMar>
              <w:top w:w="16" w:type="dxa"/>
              <w:left w:w="16" w:type="dxa"/>
              <w:right w:w="16" w:type="dxa"/>
            </w:tcMar>
            <w:vAlign w:val="center"/>
          </w:tcPr>
          <w:p w14:paraId="00D246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项目审批（核准/</w:t>
            </w:r>
          </w:p>
          <w:p w14:paraId="790586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备案）部门（选填）</w:t>
            </w:r>
          </w:p>
        </w:tc>
        <w:tc>
          <w:tcPr>
            <w:tcW w:w="2710" w:type="dxa"/>
            <w:vAlign w:val="center"/>
          </w:tcPr>
          <w:p w14:paraId="575027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w:t>
            </w:r>
          </w:p>
        </w:tc>
        <w:tc>
          <w:tcPr>
            <w:tcW w:w="1927" w:type="dxa"/>
            <w:vAlign w:val="center"/>
          </w:tcPr>
          <w:p w14:paraId="58A553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项目审批（核准/</w:t>
            </w:r>
          </w:p>
          <w:p w14:paraId="72B8B0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备案）文号（选填）</w:t>
            </w:r>
          </w:p>
        </w:tc>
        <w:tc>
          <w:tcPr>
            <w:tcW w:w="2639" w:type="dxa"/>
            <w:vAlign w:val="center"/>
          </w:tcPr>
          <w:p w14:paraId="643B04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w:t>
            </w:r>
          </w:p>
        </w:tc>
      </w:tr>
      <w:tr w14:paraId="672629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94" w:type="dxa"/>
            <w:tcMar>
              <w:top w:w="16" w:type="dxa"/>
              <w:left w:w="16" w:type="dxa"/>
              <w:right w:w="16" w:type="dxa"/>
            </w:tcMar>
            <w:vAlign w:val="center"/>
          </w:tcPr>
          <w:p w14:paraId="154A4E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总投资（万元）</w:t>
            </w:r>
          </w:p>
        </w:tc>
        <w:tc>
          <w:tcPr>
            <w:tcW w:w="2710" w:type="dxa"/>
            <w:vAlign w:val="center"/>
          </w:tcPr>
          <w:p w14:paraId="25BABB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800</w:t>
            </w:r>
          </w:p>
        </w:tc>
        <w:tc>
          <w:tcPr>
            <w:tcW w:w="1927" w:type="dxa"/>
            <w:tcMar>
              <w:top w:w="16" w:type="dxa"/>
              <w:left w:w="16" w:type="dxa"/>
              <w:right w:w="16" w:type="dxa"/>
            </w:tcMar>
            <w:vAlign w:val="center"/>
          </w:tcPr>
          <w:p w14:paraId="318CB1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环保投资（万元）</w:t>
            </w:r>
          </w:p>
        </w:tc>
        <w:tc>
          <w:tcPr>
            <w:tcW w:w="2639" w:type="dxa"/>
            <w:vAlign w:val="center"/>
          </w:tcPr>
          <w:p w14:paraId="18870F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100</w:t>
            </w:r>
          </w:p>
        </w:tc>
      </w:tr>
      <w:tr w14:paraId="6AA598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94" w:type="dxa"/>
            <w:tcMar>
              <w:top w:w="16" w:type="dxa"/>
              <w:left w:w="16" w:type="dxa"/>
              <w:right w:w="16" w:type="dxa"/>
            </w:tcMar>
            <w:vAlign w:val="center"/>
          </w:tcPr>
          <w:p w14:paraId="2EEF6D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环保投资占比（%）</w:t>
            </w:r>
          </w:p>
        </w:tc>
        <w:tc>
          <w:tcPr>
            <w:tcW w:w="2710" w:type="dxa"/>
            <w:vAlign w:val="center"/>
          </w:tcPr>
          <w:p w14:paraId="584D9F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12.5</w:t>
            </w:r>
          </w:p>
        </w:tc>
        <w:tc>
          <w:tcPr>
            <w:tcW w:w="1927" w:type="dxa"/>
            <w:tcMar>
              <w:top w:w="16" w:type="dxa"/>
              <w:left w:w="16" w:type="dxa"/>
              <w:right w:w="16" w:type="dxa"/>
            </w:tcMar>
            <w:vAlign w:val="center"/>
          </w:tcPr>
          <w:p w14:paraId="16A67F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施工工期</w:t>
            </w:r>
          </w:p>
        </w:tc>
        <w:tc>
          <w:tcPr>
            <w:tcW w:w="2639" w:type="dxa"/>
            <w:vAlign w:val="center"/>
          </w:tcPr>
          <w:p w14:paraId="67C187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1个月</w:t>
            </w:r>
          </w:p>
        </w:tc>
      </w:tr>
      <w:tr w14:paraId="36036D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94" w:type="dxa"/>
            <w:tcMar>
              <w:top w:w="16" w:type="dxa"/>
              <w:left w:w="16" w:type="dxa"/>
              <w:right w:w="16" w:type="dxa"/>
            </w:tcMar>
            <w:vAlign w:val="center"/>
          </w:tcPr>
          <w:p w14:paraId="53719C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是否开工建设</w:t>
            </w:r>
          </w:p>
        </w:tc>
        <w:tc>
          <w:tcPr>
            <w:tcW w:w="2710" w:type="dxa"/>
            <w:vAlign w:val="center"/>
          </w:tcPr>
          <w:p w14:paraId="7C2EAB93">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☑否</w:t>
            </w:r>
          </w:p>
          <w:p w14:paraId="006A7202">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□是：</w:t>
            </w:r>
            <w:r>
              <w:rPr>
                <w:rFonts w:hint="default" w:ascii="Times New Roman" w:hAnsi="Times New Roman" w:eastAsia="宋体" w:cs="Times New Roman"/>
                <w:color w:val="auto"/>
                <w:sz w:val="24"/>
                <w:szCs w:val="24"/>
                <w:u w:val="single"/>
              </w:rPr>
              <w:t xml:space="preserve">             </w:t>
            </w:r>
          </w:p>
        </w:tc>
        <w:tc>
          <w:tcPr>
            <w:tcW w:w="1927" w:type="dxa"/>
            <w:tcMar>
              <w:top w:w="16" w:type="dxa"/>
              <w:left w:w="16" w:type="dxa"/>
              <w:right w:w="16" w:type="dxa"/>
            </w:tcMar>
            <w:vAlign w:val="center"/>
          </w:tcPr>
          <w:p w14:paraId="44DB88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6"/>
                <w:sz w:val="24"/>
                <w:szCs w:val="24"/>
              </w:rPr>
              <w:t>用地面积（m</w:t>
            </w:r>
            <w:r>
              <w:rPr>
                <w:rFonts w:hint="default" w:ascii="Times New Roman" w:hAnsi="Times New Roman" w:eastAsia="宋体" w:cs="Times New Roman"/>
                <w:color w:val="auto"/>
                <w:spacing w:val="-6"/>
                <w:sz w:val="24"/>
                <w:szCs w:val="24"/>
                <w:vertAlign w:val="superscript"/>
              </w:rPr>
              <w:t>2</w:t>
            </w:r>
            <w:r>
              <w:rPr>
                <w:rFonts w:hint="default" w:ascii="Times New Roman" w:hAnsi="Times New Roman" w:eastAsia="宋体" w:cs="Times New Roman"/>
                <w:color w:val="auto"/>
                <w:spacing w:val="-6"/>
                <w:sz w:val="24"/>
                <w:szCs w:val="24"/>
              </w:rPr>
              <w:t>）</w:t>
            </w:r>
          </w:p>
        </w:tc>
        <w:tc>
          <w:tcPr>
            <w:tcW w:w="2639" w:type="dxa"/>
            <w:vAlign w:val="center"/>
          </w:tcPr>
          <w:p w14:paraId="49B89A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7855.97</w:t>
            </w:r>
          </w:p>
        </w:tc>
      </w:tr>
      <w:tr w14:paraId="209303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594" w:type="dxa"/>
            <w:vAlign w:val="center"/>
          </w:tcPr>
          <w:p w14:paraId="2E17BA0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专项评价设置情况</w:t>
            </w:r>
          </w:p>
        </w:tc>
        <w:tc>
          <w:tcPr>
            <w:tcW w:w="7276" w:type="dxa"/>
            <w:gridSpan w:val="3"/>
            <w:vAlign w:val="center"/>
          </w:tcPr>
          <w:p w14:paraId="67EC17DB">
            <w:pPr>
              <w:keepNext w:val="0"/>
              <w:keepLines w:val="0"/>
              <w:suppressLineNumbers w:val="0"/>
              <w:spacing w:before="0" w:beforeAutospacing="0" w:after="0" w:afterAutospacing="0"/>
              <w:ind w:left="0" w:right="0"/>
              <w:jc w:val="center"/>
              <w:rPr>
                <w:rFonts w:hint="default"/>
                <w:color w:val="auto"/>
                <w:sz w:val="24"/>
                <w:szCs w:val="24"/>
              </w:rPr>
            </w:pPr>
            <w:r>
              <w:rPr>
                <w:rFonts w:hint="default"/>
                <w:color w:val="auto"/>
                <w:sz w:val="24"/>
                <w:szCs w:val="24"/>
              </w:rPr>
              <w:t>无</w:t>
            </w:r>
          </w:p>
        </w:tc>
      </w:tr>
      <w:tr w14:paraId="6F8AE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594" w:type="dxa"/>
            <w:vAlign w:val="center"/>
          </w:tcPr>
          <w:p w14:paraId="1881E05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规划情况</w:t>
            </w:r>
          </w:p>
        </w:tc>
        <w:tc>
          <w:tcPr>
            <w:tcW w:w="7276" w:type="dxa"/>
            <w:gridSpan w:val="3"/>
            <w:vAlign w:val="center"/>
          </w:tcPr>
          <w:p w14:paraId="0CA310CC">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kern w:val="2"/>
                <w:sz w:val="24"/>
                <w:szCs w:val="24"/>
                <w:lang w:val="en-US" w:eastAsia="zh-CN"/>
              </w:rPr>
            </w:pPr>
            <w:r>
              <w:rPr>
                <w:rFonts w:hint="eastAsia"/>
                <w:color w:val="auto"/>
                <w:sz w:val="24"/>
                <w:szCs w:val="24"/>
                <w:lang w:val="en-US" w:eastAsia="zh-CN"/>
              </w:rPr>
              <w:t>无</w:t>
            </w:r>
          </w:p>
        </w:tc>
      </w:tr>
      <w:tr w14:paraId="58E4EB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94" w:type="dxa"/>
            <w:vAlign w:val="center"/>
          </w:tcPr>
          <w:p w14:paraId="0C0E53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规划环境影响</w:t>
            </w:r>
          </w:p>
          <w:p w14:paraId="0412196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评价情况</w:t>
            </w:r>
          </w:p>
        </w:tc>
        <w:tc>
          <w:tcPr>
            <w:tcW w:w="7276" w:type="dxa"/>
            <w:gridSpan w:val="3"/>
            <w:vAlign w:val="center"/>
          </w:tcPr>
          <w:p w14:paraId="2B841C0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4"/>
                <w:szCs w:val="24"/>
                <w:lang w:val="en-US" w:eastAsia="zh-CN"/>
              </w:rPr>
            </w:pPr>
            <w:r>
              <w:rPr>
                <w:rFonts w:hint="eastAsia"/>
                <w:color w:val="auto"/>
                <w:sz w:val="24"/>
                <w:szCs w:val="24"/>
                <w:lang w:val="en-US" w:eastAsia="zh-CN"/>
              </w:rPr>
              <w:t>无</w:t>
            </w:r>
          </w:p>
        </w:tc>
      </w:tr>
      <w:tr w14:paraId="08E4B7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94" w:type="dxa"/>
            <w:vAlign w:val="center"/>
          </w:tcPr>
          <w:p w14:paraId="145C559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 w:val="24"/>
                <w:szCs w:val="24"/>
                <w:lang w:val="en-US" w:eastAsia="zh-CN"/>
              </w:rPr>
              <w:t>与规划和</w:t>
            </w:r>
            <w:r>
              <w:rPr>
                <w:rFonts w:hint="default" w:ascii="Times New Roman" w:hAnsi="Times New Roman" w:eastAsia="宋体" w:cs="Times New Roman"/>
                <w:color w:val="auto"/>
                <w:kern w:val="0"/>
                <w:sz w:val="24"/>
                <w:szCs w:val="24"/>
              </w:rPr>
              <w:t>规划环境影响评价符合性分析</w:t>
            </w:r>
          </w:p>
        </w:tc>
        <w:tc>
          <w:tcPr>
            <w:tcW w:w="7276" w:type="dxa"/>
            <w:gridSpan w:val="3"/>
            <w:vAlign w:val="center"/>
          </w:tcPr>
          <w:p w14:paraId="3E7B3BEE">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lang w:val="en-US" w:eastAsia="zh-CN"/>
              </w:rPr>
            </w:pPr>
            <w:r>
              <w:rPr>
                <w:rFonts w:hint="eastAsia"/>
                <w:color w:val="auto"/>
                <w:sz w:val="24"/>
                <w:szCs w:val="24"/>
                <w:lang w:val="en-US" w:eastAsia="zh-CN"/>
              </w:rPr>
              <w:t>无</w:t>
            </w:r>
          </w:p>
        </w:tc>
      </w:tr>
      <w:tr w14:paraId="0E9DFF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49" w:hRule="atLeast"/>
          <w:jc w:val="center"/>
        </w:trPr>
        <w:tc>
          <w:tcPr>
            <w:tcW w:w="1594" w:type="dxa"/>
            <w:vAlign w:val="center"/>
          </w:tcPr>
          <w:p w14:paraId="66E59C4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 w:val="24"/>
                <w:szCs w:val="24"/>
              </w:rPr>
              <w:t>其他符合性分析</w:t>
            </w:r>
          </w:p>
        </w:tc>
        <w:tc>
          <w:tcPr>
            <w:tcW w:w="7276" w:type="dxa"/>
            <w:gridSpan w:val="3"/>
            <w:vAlign w:val="center"/>
          </w:tcPr>
          <w:p w14:paraId="0DD1DCB4">
            <w:pPr>
              <w:keepNext w:val="0"/>
              <w:keepLines w:val="0"/>
              <w:numPr>
                <w:ilvl w:val="0"/>
                <w:numId w:val="0"/>
              </w:numPr>
              <w:suppressLineNumbers w:val="0"/>
              <w:spacing w:before="0" w:beforeAutospacing="0" w:after="0" w:afterAutospacing="0" w:line="360" w:lineRule="auto"/>
              <w:ind w:left="0" w:right="0" w:rightChars="0" w:firstLine="482" w:firstLineChars="200"/>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bCs/>
                <w:color w:val="auto"/>
                <w:kern w:val="0"/>
                <w:sz w:val="24"/>
                <w:szCs w:val="24"/>
                <w:lang w:val="en-US" w:eastAsia="zh-CN" w:bidi="ar-SA"/>
              </w:rPr>
              <w:t>1、</w:t>
            </w:r>
            <w:r>
              <w:rPr>
                <w:rFonts w:hint="eastAsia" w:ascii="Times New Roman" w:hAnsi="Times New Roman" w:eastAsia="宋体" w:cs="Times New Roman"/>
                <w:b/>
                <w:bCs/>
                <w:color w:val="auto"/>
                <w:kern w:val="0"/>
                <w:sz w:val="24"/>
                <w:szCs w:val="24"/>
                <w:lang w:val="en-US" w:eastAsia="zh-CN"/>
              </w:rPr>
              <w:t>选址合理性</w:t>
            </w:r>
            <w:r>
              <w:rPr>
                <w:rFonts w:hint="default" w:ascii="Times New Roman" w:hAnsi="Times New Roman" w:eastAsia="宋体" w:cs="Times New Roman"/>
                <w:b/>
                <w:bCs/>
                <w:color w:val="auto"/>
                <w:kern w:val="0"/>
                <w:sz w:val="24"/>
                <w:szCs w:val="24"/>
              </w:rPr>
              <w:t>分析</w:t>
            </w:r>
          </w:p>
          <w:p w14:paraId="54F636CC">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val="en-US" w:eastAsia="zh-CN"/>
              </w:rPr>
              <w:t>项目选址于广东省廉江市高桥镇大冲村村委横冲村旁高岭土厂，根据租赁合同（见附件4），项目用地性质为建设用地</w:t>
            </w:r>
            <w:r>
              <w:rPr>
                <w:rFonts w:hint="default" w:ascii="Times New Roman" w:hAnsi="Times New Roman" w:eastAsia="宋体" w:cs="Times New Roman"/>
                <w:color w:val="auto"/>
                <w:kern w:val="0"/>
                <w:sz w:val="24"/>
                <w:szCs w:val="24"/>
              </w:rPr>
              <w:t>。</w:t>
            </w:r>
          </w:p>
          <w:p w14:paraId="3665DB1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根据湛江市生态环境局廉江分局《关于征求建设冠霖环保建筑垃圾受纳场意见的答复》（见附件5），项目选址红线范围不涉及饮用水源保护区和一般生态空间。</w:t>
            </w:r>
          </w:p>
          <w:p w14:paraId="27997291">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根据廉江市城市管理和综合执法局出具的建筑垃圾受纳证（受纳证号：廉城综（市容）（2025）33号）（见附件6），选址符合建筑垃圾受纳场的条件。</w:t>
            </w:r>
          </w:p>
          <w:p w14:paraId="7A50EEE6">
            <w:pPr>
              <w:keepNext w:val="0"/>
              <w:keepLines w:val="0"/>
              <w:suppressLineNumbers w:val="0"/>
              <w:tabs>
                <w:tab w:val="left" w:pos="2517"/>
              </w:tabs>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综上所述，本项目选址合理。</w:t>
            </w:r>
          </w:p>
          <w:p w14:paraId="2B7D4EE2">
            <w:pPr>
              <w:keepNext w:val="0"/>
              <w:keepLines w:val="0"/>
              <w:numPr>
                <w:ilvl w:val="0"/>
                <w:numId w:val="2"/>
              </w:numPr>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kern w:val="0"/>
                <w:sz w:val="24"/>
                <w:szCs w:val="24"/>
              </w:rPr>
            </w:pPr>
            <w:r>
              <w:rPr>
                <w:rFonts w:hint="eastAsia" w:ascii="Times New Roman" w:hAnsi="Times New Roman" w:eastAsia="宋体" w:cs="Times New Roman"/>
                <w:b/>
                <w:bCs/>
                <w:color w:val="auto"/>
                <w:kern w:val="0"/>
                <w:sz w:val="24"/>
                <w:szCs w:val="24"/>
                <w:lang w:val="en-US" w:eastAsia="zh-CN"/>
              </w:rPr>
              <w:t>与产业政策符合性</w:t>
            </w:r>
            <w:r>
              <w:rPr>
                <w:rFonts w:hint="default" w:ascii="Times New Roman" w:hAnsi="Times New Roman" w:eastAsia="宋体" w:cs="Times New Roman"/>
                <w:b/>
                <w:bCs/>
                <w:color w:val="auto"/>
                <w:kern w:val="0"/>
                <w:sz w:val="24"/>
                <w:szCs w:val="24"/>
              </w:rPr>
              <w:t>分析</w:t>
            </w:r>
          </w:p>
          <w:p w14:paraId="45D5DCC7">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根据《国民经济行业分类》（GB/T4754-2017），本项目</w:t>
            </w:r>
            <w:r>
              <w:rPr>
                <w:rFonts w:hint="eastAsia" w:ascii="Times New Roman" w:hAnsi="Times New Roman" w:eastAsia="宋体" w:cs="Times New Roman"/>
                <w:color w:val="auto"/>
                <w:kern w:val="0"/>
                <w:sz w:val="24"/>
                <w:szCs w:val="24"/>
                <w:lang w:val="en-US" w:eastAsia="zh-CN"/>
              </w:rPr>
              <w:t>建筑垃圾仓储</w:t>
            </w:r>
            <w:r>
              <w:rPr>
                <w:rFonts w:hint="default" w:ascii="Times New Roman" w:hAnsi="Times New Roman" w:eastAsia="宋体" w:cs="Times New Roman"/>
                <w:color w:val="auto"/>
                <w:kern w:val="0"/>
                <w:sz w:val="24"/>
                <w:szCs w:val="24"/>
                <w:lang w:val="en-US" w:eastAsia="zh-CN"/>
              </w:rPr>
              <w:t>属于</w:t>
            </w:r>
            <w:r>
              <w:rPr>
                <w:rFonts w:hint="eastAsia" w:ascii="Times New Roman" w:hAnsi="Times New Roman" w:eastAsia="宋体" w:cs="Times New Roman"/>
                <w:color w:val="auto"/>
                <w:kern w:val="0"/>
                <w:sz w:val="24"/>
                <w:szCs w:val="24"/>
                <w:lang w:val="en-US" w:eastAsia="zh-CN"/>
              </w:rPr>
              <w:t>生态保护和环境治理业中环境治理业的N</w:t>
            </w:r>
            <w:r>
              <w:rPr>
                <w:rFonts w:hint="default" w:ascii="Times New Roman" w:hAnsi="Times New Roman" w:eastAsia="宋体" w:cs="Times New Roman"/>
                <w:color w:val="auto"/>
                <w:kern w:val="0"/>
                <w:sz w:val="24"/>
                <w:szCs w:val="24"/>
                <w:lang w:val="en-US" w:eastAsia="zh-CN"/>
              </w:rPr>
              <w:t>7723 固体废物治理</w:t>
            </w:r>
            <w:r>
              <w:rPr>
                <w:rFonts w:hint="eastAsia" w:ascii="Times New Roman" w:hAnsi="Times New Roman" w:eastAsia="宋体" w:cs="Times New Roman"/>
                <w:color w:val="auto"/>
                <w:kern w:val="0"/>
                <w:sz w:val="24"/>
                <w:szCs w:val="24"/>
                <w:lang w:val="en-US" w:eastAsia="zh-CN"/>
              </w:rPr>
              <w:t>。</w:t>
            </w:r>
          </w:p>
          <w:p w14:paraId="63473DA6">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经查阅国家《产业结构调整指导目录（2024 年本）》，</w:t>
            </w:r>
            <w:r>
              <w:rPr>
                <w:rFonts w:hint="eastAsia" w:ascii="Times New Roman" w:hAnsi="Times New Roman" w:eastAsia="宋体" w:cs="Times New Roman"/>
                <w:color w:val="auto"/>
                <w:kern w:val="0"/>
                <w:sz w:val="24"/>
                <w:szCs w:val="24"/>
                <w:lang w:val="en-US" w:eastAsia="zh-CN"/>
              </w:rPr>
              <w:t>建筑垃圾仓储</w:t>
            </w:r>
            <w:r>
              <w:rPr>
                <w:rFonts w:hint="default" w:ascii="Times New Roman" w:hAnsi="Times New Roman" w:eastAsia="宋体" w:cs="Times New Roman"/>
                <w:color w:val="auto"/>
                <w:kern w:val="0"/>
                <w:sz w:val="24"/>
                <w:szCs w:val="24"/>
                <w:lang w:val="en-US" w:eastAsia="zh-CN"/>
              </w:rPr>
              <w:t>属于“鼓励类：四十二、环境保护与资源节约综合利用——8.废弃物循环利用——建筑垃圾等工业废弃物循环利用；同时本项目不属于</w:t>
            </w:r>
            <w:r>
              <w:rPr>
                <w:rFonts w:hint="eastAsia" w:ascii="Times New Roman" w:hAnsi="Times New Roman" w:eastAsia="宋体" w:cs="Times New Roman"/>
                <w:color w:val="auto"/>
                <w:kern w:val="0"/>
                <w:sz w:val="24"/>
                <w:szCs w:val="24"/>
                <w:lang w:val="en-US" w:eastAsia="zh-CN"/>
              </w:rPr>
              <w:t>国家发展改革委和商务部联合发布的《市场准入负面清单（2025年版）》</w:t>
            </w:r>
            <w:r>
              <w:rPr>
                <w:rFonts w:hint="default" w:ascii="Times New Roman" w:hAnsi="Times New Roman" w:eastAsia="宋体" w:cs="Times New Roman"/>
                <w:color w:val="auto"/>
                <w:kern w:val="0"/>
                <w:sz w:val="24"/>
                <w:szCs w:val="24"/>
                <w:lang w:val="en-US" w:eastAsia="zh-CN"/>
              </w:rPr>
              <w:t>中所列的项目，负面清单以外的投资项目均为允许准入。</w:t>
            </w:r>
          </w:p>
          <w:p w14:paraId="3B81717D">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综上，本项目的建设符合国家和地方的产业政策。</w:t>
            </w:r>
          </w:p>
          <w:p w14:paraId="24638865">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kern w:val="0"/>
                <w:sz w:val="24"/>
                <w:szCs w:val="24"/>
              </w:rPr>
            </w:pPr>
            <w:r>
              <w:rPr>
                <w:rFonts w:hint="eastAsia" w:ascii="Times New Roman" w:hAnsi="Times New Roman" w:eastAsia="宋体" w:cs="Times New Roman"/>
                <w:b/>
                <w:bCs/>
                <w:color w:val="auto"/>
                <w:kern w:val="0"/>
                <w:sz w:val="24"/>
                <w:szCs w:val="24"/>
                <w:lang w:val="en-US" w:eastAsia="zh-CN"/>
              </w:rPr>
              <w:t>3</w:t>
            </w:r>
            <w:r>
              <w:rPr>
                <w:rFonts w:hint="default" w:ascii="Times New Roman" w:hAnsi="Times New Roman" w:eastAsia="宋体" w:cs="Times New Roman"/>
                <w:b/>
                <w:bCs/>
                <w:color w:val="auto"/>
                <w:kern w:val="0"/>
                <w:sz w:val="24"/>
                <w:szCs w:val="24"/>
              </w:rPr>
              <w:t>、与《广东省人民政府关于印发广东省“三线一单”生态环境分区管控方案的通知》（粵府[2020]71号）相符性分析</w:t>
            </w:r>
          </w:p>
          <w:p w14:paraId="58110FD9">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bCs/>
                <w:color w:val="auto"/>
                <w:kern w:val="0"/>
                <w:sz w:val="24"/>
                <w:szCs w:val="24"/>
              </w:rPr>
              <w:t>（1）生态保护红线及一般生态空间</w:t>
            </w:r>
          </w:p>
          <w:p w14:paraId="64A879EF">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全省陆域生态保护红线面积36194.35平方公里，占全省陆域国土面积的20.13%；一般生态空间面积27741.66平方公里，占全省陆域国土面积的15.44%。全省海洋生态保护红线面积16490.59平方公里，占全省管辖海域面积的25.49%。</w:t>
            </w:r>
          </w:p>
          <w:p w14:paraId="2EEB3D2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生态保护红线内，自然保护地核心保护区原则上禁止人为活动，其他区域严格禁止开发性、生产性建设活动，在符合现行法律法规前提下，除国家重大战略项目外，仅允许对生态功能不造成破坏的有限人为活动。一般生态空间内，可开展生态保护红线内允许的活动；在不影响主导生态功能的前提下，还可开展国家和省规定不纳入环评管理的项目建设，以及生态旅游、畜禽养殖、基础设施建设、村庄建设等人为活动。</w:t>
            </w:r>
          </w:p>
          <w:p w14:paraId="3456368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项目位于广东省廉江市高桥镇大冲村村委横冲村旁高岭土厂，位于广东省环境管控单元中重点管控单元</w:t>
            </w:r>
            <w:r>
              <w:rPr>
                <w:rFonts w:hint="default" w:ascii="Times New Roman" w:hAnsi="Times New Roman" w:eastAsia="宋体" w:cs="Times New Roman"/>
                <w:color w:val="auto"/>
                <w:kern w:val="0"/>
                <w:sz w:val="24"/>
                <w:szCs w:val="24"/>
                <w:highlight w:val="none"/>
              </w:rPr>
              <w:t>，本</w:t>
            </w:r>
            <w:r>
              <w:rPr>
                <w:rFonts w:hint="eastAsia" w:ascii="Times New Roman" w:hAnsi="Times New Roman" w:eastAsia="宋体" w:cs="Times New Roman"/>
                <w:color w:val="auto"/>
                <w:kern w:val="0"/>
                <w:sz w:val="24"/>
                <w:szCs w:val="24"/>
                <w:highlight w:val="none"/>
                <w:lang w:val="en-US" w:eastAsia="zh-CN"/>
              </w:rPr>
              <w:t>项目</w:t>
            </w:r>
            <w:r>
              <w:rPr>
                <w:rFonts w:hint="default" w:ascii="Times New Roman" w:hAnsi="Times New Roman" w:eastAsia="宋体" w:cs="Times New Roman"/>
                <w:color w:val="auto"/>
                <w:kern w:val="0"/>
                <w:sz w:val="24"/>
                <w:szCs w:val="24"/>
                <w:highlight w:val="none"/>
              </w:rPr>
              <w:t>为建筑垃圾受纳场，</w:t>
            </w:r>
            <w:r>
              <w:rPr>
                <w:rFonts w:hint="default" w:ascii="Times New Roman" w:hAnsi="Times New Roman" w:eastAsia="宋体" w:cs="Times New Roman"/>
                <w:color w:val="auto"/>
                <w:kern w:val="0"/>
                <w:sz w:val="24"/>
                <w:szCs w:val="24"/>
              </w:rPr>
              <w:t>项目周边无自然保护区、饮用水源保护区等生态保护目标，本项目选址地不属于方案中划定的生态保护红线范围，不在其保护区范围内从事禁止行为，所以本项目建设与通知的相关要求相符。</w:t>
            </w:r>
          </w:p>
          <w:p w14:paraId="790427D8">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bCs/>
                <w:color w:val="auto"/>
                <w:kern w:val="0"/>
                <w:sz w:val="24"/>
                <w:szCs w:val="24"/>
              </w:rPr>
              <w:t>（2）环境质量底线</w:t>
            </w:r>
          </w:p>
          <w:p w14:paraId="053BA09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全省水环境质量持续改善，国考、省考断面优良水质比例稳步提升，全面消除劣V类水体。大气环境质量继续领跑先行，PM2.5年均浓度率先达到世界卫生组织过渡期二阶段目标值（25微克/立方米），臭氧污染得到有效遏制。土壤环境质量稳中向好，土壤环境风险得到管控。近岸海域水体质量稳步提升。</w:t>
            </w:r>
          </w:p>
          <w:p w14:paraId="068E5AB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根据项目所在地现状监测报告，项目所在地的环境质量良好。</w:t>
            </w:r>
            <w:r>
              <w:rPr>
                <w:rFonts w:hint="eastAsia" w:ascii="Times New Roman" w:hAnsi="Times New Roman" w:eastAsia="宋体" w:cs="Times New Roman"/>
                <w:color w:val="auto"/>
                <w:kern w:val="0"/>
                <w:sz w:val="24"/>
                <w:szCs w:val="24"/>
                <w:lang w:val="en-US" w:eastAsia="zh-CN"/>
              </w:rPr>
              <w:t>本</w:t>
            </w:r>
            <w:r>
              <w:rPr>
                <w:rFonts w:hint="default" w:ascii="Times New Roman" w:hAnsi="Times New Roman" w:eastAsia="宋体" w:cs="Times New Roman"/>
                <w:color w:val="auto"/>
                <w:kern w:val="0"/>
                <w:sz w:val="24"/>
                <w:szCs w:val="24"/>
              </w:rPr>
              <w:t>项目运营过程中会产生一定的污染物，如生活污水、</w:t>
            </w:r>
            <w:r>
              <w:rPr>
                <w:rFonts w:hint="eastAsia" w:ascii="Times New Roman" w:hAnsi="Times New Roman" w:eastAsia="宋体" w:cs="Times New Roman"/>
                <w:color w:val="auto"/>
                <w:kern w:val="0"/>
                <w:sz w:val="24"/>
                <w:szCs w:val="24"/>
                <w:lang w:val="en-US" w:eastAsia="zh-CN"/>
              </w:rPr>
              <w:t>生产废水、</w:t>
            </w:r>
            <w:r>
              <w:rPr>
                <w:rFonts w:hint="default" w:ascii="Times New Roman" w:hAnsi="Times New Roman" w:eastAsia="宋体" w:cs="Times New Roman"/>
                <w:color w:val="auto"/>
                <w:kern w:val="0"/>
                <w:sz w:val="24"/>
                <w:szCs w:val="24"/>
              </w:rPr>
              <w:t>废气、噪声</w:t>
            </w:r>
            <w:r>
              <w:rPr>
                <w:rFonts w:hint="eastAsia" w:ascii="Times New Roman" w:hAnsi="Times New Roman" w:eastAsia="宋体" w:cs="Times New Roman"/>
                <w:color w:val="auto"/>
                <w:kern w:val="0"/>
                <w:sz w:val="24"/>
                <w:szCs w:val="24"/>
                <w:lang w:eastAsia="zh-CN"/>
              </w:rPr>
              <w:t>、</w:t>
            </w:r>
            <w:r>
              <w:rPr>
                <w:rFonts w:hint="eastAsia" w:ascii="Times New Roman" w:hAnsi="Times New Roman" w:eastAsia="宋体" w:cs="Times New Roman"/>
                <w:color w:val="auto"/>
                <w:kern w:val="0"/>
                <w:sz w:val="24"/>
                <w:szCs w:val="24"/>
                <w:lang w:val="en-US" w:eastAsia="zh-CN"/>
              </w:rPr>
              <w:t>固体废物</w:t>
            </w:r>
            <w:r>
              <w:rPr>
                <w:rFonts w:hint="default" w:ascii="Times New Roman" w:hAnsi="Times New Roman" w:eastAsia="宋体" w:cs="Times New Roman"/>
                <w:color w:val="auto"/>
                <w:kern w:val="0"/>
                <w:sz w:val="24"/>
                <w:szCs w:val="24"/>
              </w:rPr>
              <w:t>等，采取相应的污染防治措施后，各类污染物的排放不会对周围环境产生明显影响，不会降低当地环境质量。</w:t>
            </w:r>
          </w:p>
          <w:p w14:paraId="35244EFD">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bCs/>
                <w:color w:val="auto"/>
                <w:kern w:val="0"/>
                <w:sz w:val="24"/>
                <w:szCs w:val="24"/>
              </w:rPr>
              <w:t>（3）资源利用上线</w:t>
            </w:r>
          </w:p>
          <w:p w14:paraId="74B9EA8D">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强化节约集约利用，持续提升资源能源利用效率，水资源、土地资源、岸线资源、能源消耗等达到或优于国家下达的总量和强度控制目标。</w:t>
            </w:r>
          </w:p>
          <w:p w14:paraId="09708EC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本项目用电来自市政电网，生活用水来自现有管网，本项目运营</w:t>
            </w:r>
            <w:r>
              <w:rPr>
                <w:rFonts w:hint="eastAsia" w:ascii="Times New Roman" w:hAnsi="Times New Roman" w:eastAsia="宋体" w:cs="Times New Roman"/>
                <w:color w:val="auto"/>
                <w:kern w:val="0"/>
                <w:sz w:val="24"/>
                <w:szCs w:val="24"/>
                <w:lang w:val="en-US" w:eastAsia="zh-CN"/>
              </w:rPr>
              <w:t>期间</w:t>
            </w:r>
            <w:r>
              <w:rPr>
                <w:rFonts w:hint="default" w:ascii="Times New Roman" w:hAnsi="Times New Roman" w:eastAsia="宋体" w:cs="Times New Roman"/>
                <w:color w:val="auto"/>
                <w:kern w:val="0"/>
                <w:sz w:val="24"/>
                <w:szCs w:val="24"/>
              </w:rPr>
              <w:t>通过内部管理、设备选择、原辅材料的选用和管理、污染治理等多方面采取合理可行的防治措施，以“节能、降耗、减污、增效”为目标，有效的控制污染。项目的水、电、原材料等资源利用不会突破区域的资源利用上线。</w:t>
            </w:r>
          </w:p>
          <w:p w14:paraId="41857FD0">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bCs/>
                <w:color w:val="auto"/>
                <w:kern w:val="0"/>
                <w:sz w:val="24"/>
                <w:szCs w:val="24"/>
              </w:rPr>
              <w:t>（4）生态环境分区管控</w:t>
            </w:r>
          </w:p>
          <w:p w14:paraId="0907D76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从区域布局管控、能源资源利用、污染物排放管控和环境风险防控等方面明确准入要求，建立“1+3+N”三级生态环境准入清单体系。“1”为全省总体管控要求，“3”为“一核一带一区”区域管控要求，“N”为1912个陆域环境管控单元和471个海域环境管控单元的管控要求。</w:t>
            </w:r>
          </w:p>
          <w:p w14:paraId="5395CE9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rPr>
              <w:t>本项目</w:t>
            </w:r>
            <w:r>
              <w:rPr>
                <w:rFonts w:hint="eastAsia" w:ascii="Times New Roman" w:hAnsi="Times New Roman" w:eastAsia="宋体" w:cs="Times New Roman"/>
                <w:color w:val="auto"/>
                <w:kern w:val="0"/>
                <w:sz w:val="24"/>
                <w:szCs w:val="24"/>
                <w:lang w:val="en-US" w:eastAsia="zh-CN"/>
              </w:rPr>
              <w:t>属于</w:t>
            </w:r>
            <w:r>
              <w:rPr>
                <w:rFonts w:hint="eastAsia" w:ascii="Times New Roman" w:hAnsi="Times New Roman" w:cs="Times New Roman"/>
                <w:color w:val="auto"/>
                <w:kern w:val="2"/>
                <w:sz w:val="24"/>
                <w:szCs w:val="24"/>
                <w:lang w:val="en-US" w:eastAsia="zh-CN" w:bidi="ar-SA"/>
              </w:rPr>
              <w:t>废弃资源综合利用业</w:t>
            </w:r>
            <w:r>
              <w:rPr>
                <w:rFonts w:hint="default" w:ascii="Times New Roman" w:hAnsi="Times New Roman" w:eastAsia="宋体" w:cs="Times New Roman"/>
                <w:color w:val="auto"/>
                <w:kern w:val="0"/>
                <w:sz w:val="24"/>
                <w:szCs w:val="24"/>
              </w:rPr>
              <w:t>，根据国家《</w:t>
            </w:r>
            <w:r>
              <w:rPr>
                <w:rFonts w:hint="eastAsia" w:ascii="Times New Roman" w:hAnsi="Times New Roman" w:eastAsia="宋体" w:cs="Times New Roman"/>
                <w:color w:val="auto"/>
                <w:kern w:val="0"/>
                <w:sz w:val="24"/>
                <w:szCs w:val="24"/>
                <w:lang w:eastAsia="zh-CN"/>
              </w:rPr>
              <w:t>产业结构调整指导目录》（202</w:t>
            </w:r>
            <w:r>
              <w:rPr>
                <w:rFonts w:hint="eastAsia" w:ascii="Times New Roman" w:hAnsi="Times New Roman" w:eastAsia="宋体" w:cs="Times New Roman"/>
                <w:color w:val="auto"/>
                <w:kern w:val="0"/>
                <w:sz w:val="24"/>
                <w:szCs w:val="24"/>
                <w:lang w:val="en-US" w:eastAsia="zh-CN"/>
              </w:rPr>
              <w:t>4</w:t>
            </w:r>
            <w:r>
              <w:rPr>
                <w:rFonts w:hint="eastAsia" w:ascii="Times New Roman" w:hAnsi="Times New Roman" w:eastAsia="宋体" w:cs="Times New Roman"/>
                <w:color w:val="auto"/>
                <w:kern w:val="0"/>
                <w:sz w:val="24"/>
                <w:szCs w:val="24"/>
                <w:lang w:eastAsia="zh-CN"/>
              </w:rPr>
              <w:t>年本）</w:t>
            </w:r>
            <w:r>
              <w:rPr>
                <w:rFonts w:hint="default" w:ascii="Times New Roman" w:hAnsi="Times New Roman" w:eastAsia="宋体" w:cs="Times New Roman"/>
                <w:color w:val="auto"/>
                <w:kern w:val="0"/>
                <w:sz w:val="24"/>
                <w:szCs w:val="24"/>
              </w:rPr>
              <w:t>，</w:t>
            </w:r>
            <w:r>
              <w:rPr>
                <w:rFonts w:hint="eastAsia" w:ascii="Times New Roman" w:hAnsi="Times New Roman" w:eastAsia="宋体" w:cs="Times New Roman"/>
                <w:color w:val="auto"/>
                <w:kern w:val="0"/>
                <w:sz w:val="24"/>
                <w:szCs w:val="24"/>
                <w:lang w:val="en-US" w:eastAsia="zh-CN"/>
              </w:rPr>
              <w:t>属于鼓励类“四十二、环境保护与资源节约综合利用——8.废弃物循环利用——建筑垃圾等工业废弃物循环利用</w:t>
            </w:r>
            <w:r>
              <w:rPr>
                <w:rFonts w:hint="default" w:ascii="Times New Roman" w:hAnsi="Times New Roman" w:eastAsia="宋体" w:cs="Times New Roman"/>
                <w:color w:val="auto"/>
                <w:kern w:val="0"/>
                <w:sz w:val="24"/>
                <w:szCs w:val="24"/>
              </w:rPr>
              <w:t>；根据国家发展改革委和商务部联合发布的《市场准入负面清单（2025年版）》，项目不属于准入负面清单中的禁止准入类，符合产业政策要求。 广东省环境管控单元图</w:t>
            </w:r>
            <w:r>
              <w:rPr>
                <w:rFonts w:hint="eastAsia" w:ascii="Times New Roman" w:hAnsi="Times New Roman" w:eastAsia="宋体" w:cs="Times New Roman"/>
                <w:color w:val="auto"/>
                <w:kern w:val="0"/>
                <w:sz w:val="24"/>
                <w:szCs w:val="24"/>
                <w:lang w:val="en-US" w:eastAsia="zh-CN"/>
              </w:rPr>
              <w:t>详见附图7。</w:t>
            </w:r>
          </w:p>
          <w:p w14:paraId="32551114">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综上，项目建设符合广东省“三线一单”文件精神。</w:t>
            </w:r>
          </w:p>
          <w:p w14:paraId="3B902C06">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szCs w:val="24"/>
              </w:rPr>
            </w:pPr>
            <w:r>
              <w:rPr>
                <w:rFonts w:hint="eastAsia" w:ascii="Times New Roman" w:hAnsi="Times New Roman" w:eastAsia="宋体" w:cs="Times New Roman"/>
                <w:b/>
                <w:bCs/>
                <w:color w:val="auto"/>
                <w:kern w:val="0"/>
                <w:sz w:val="24"/>
                <w:szCs w:val="24"/>
                <w:lang w:val="en-US" w:eastAsia="zh-CN"/>
              </w:rPr>
              <w:t>4</w:t>
            </w:r>
            <w:r>
              <w:rPr>
                <w:rFonts w:hint="default" w:ascii="Times New Roman" w:hAnsi="Times New Roman" w:eastAsia="宋体" w:cs="Times New Roman"/>
                <w:b/>
                <w:bCs/>
                <w:color w:val="auto"/>
                <w:kern w:val="0"/>
                <w:sz w:val="24"/>
                <w:szCs w:val="24"/>
              </w:rPr>
              <w:t>、</w:t>
            </w:r>
            <w:r>
              <w:rPr>
                <w:rFonts w:hint="default" w:ascii="Times New Roman" w:hAnsi="Times New Roman" w:cs="Times New Roman"/>
                <w:b/>
                <w:bCs/>
                <w:color w:val="auto"/>
                <w:sz w:val="24"/>
                <w:szCs w:val="24"/>
              </w:rPr>
              <w:t>与《湛江市</w:t>
            </w:r>
            <w:r>
              <w:rPr>
                <w:rFonts w:hint="eastAsia" w:ascii="Times New Roman" w:hAnsi="Times New Roman" w:cs="Times New Roman"/>
                <w:b/>
                <w:bCs/>
                <w:color w:val="auto"/>
                <w:sz w:val="24"/>
                <w:szCs w:val="24"/>
                <w:lang w:val="en-US" w:eastAsia="zh-CN"/>
              </w:rPr>
              <w:t>2023年</w:t>
            </w:r>
            <w:r>
              <w:rPr>
                <w:rFonts w:hint="default" w:ascii="Times New Roman" w:hAnsi="Times New Roman" w:cs="Times New Roman"/>
                <w:b/>
                <w:bCs/>
                <w:color w:val="auto"/>
                <w:sz w:val="24"/>
                <w:szCs w:val="24"/>
              </w:rPr>
              <w:t>“三线一单”生态环境分区管控</w:t>
            </w:r>
            <w:r>
              <w:rPr>
                <w:rFonts w:hint="eastAsia" w:ascii="Times New Roman" w:hAnsi="Times New Roman" w:cs="Times New Roman"/>
                <w:b/>
                <w:bCs/>
                <w:color w:val="auto"/>
                <w:sz w:val="24"/>
                <w:szCs w:val="24"/>
                <w:lang w:val="en-US" w:eastAsia="zh-CN"/>
              </w:rPr>
              <w:t>成果更新调整成果</w:t>
            </w:r>
            <w:r>
              <w:rPr>
                <w:rFonts w:hint="default" w:ascii="Times New Roman" w:hAnsi="Times New Roman" w:cs="Times New Roman"/>
                <w:b/>
                <w:bCs/>
                <w:color w:val="auto"/>
                <w:sz w:val="24"/>
                <w:szCs w:val="24"/>
              </w:rPr>
              <w:t>》（</w:t>
            </w:r>
            <w:r>
              <w:rPr>
                <w:rFonts w:hint="eastAsia" w:ascii="Times New Roman" w:hAnsi="Times New Roman" w:cs="Times New Roman"/>
                <w:b/>
                <w:bCs/>
                <w:color w:val="auto"/>
                <w:sz w:val="24"/>
                <w:szCs w:val="24"/>
                <w:lang w:val="en-US" w:eastAsia="zh-CN"/>
              </w:rPr>
              <w:t>湛江市生态环境局</w:t>
            </w:r>
            <w:r>
              <w:rPr>
                <w:rFonts w:hint="default" w:ascii="Times New Roman" w:hAnsi="Times New Roman" w:cs="Times New Roman"/>
                <w:b/>
                <w:bCs/>
                <w:color w:val="auto"/>
                <w:sz w:val="24"/>
                <w:szCs w:val="24"/>
              </w:rPr>
              <w:t>〔202</w:t>
            </w:r>
            <w:r>
              <w:rPr>
                <w:rFonts w:hint="eastAsia" w:ascii="Times New Roman" w:hAnsi="Times New Roman" w:cs="Times New Roman"/>
                <w:b/>
                <w:bCs/>
                <w:color w:val="auto"/>
                <w:sz w:val="24"/>
                <w:szCs w:val="24"/>
                <w:lang w:val="en-US" w:eastAsia="zh-CN"/>
              </w:rPr>
              <w:t>4</w:t>
            </w:r>
            <w:r>
              <w:rPr>
                <w:rFonts w:hint="default" w:ascii="Times New Roman" w:hAnsi="Times New Roman" w:cs="Times New Roman"/>
                <w:b/>
                <w:bCs/>
                <w:color w:val="auto"/>
                <w:sz w:val="24"/>
                <w:szCs w:val="24"/>
              </w:rPr>
              <w:t>〕）相符性分析</w:t>
            </w:r>
          </w:p>
          <w:p w14:paraId="7A64CFBA">
            <w:pPr>
              <w:pStyle w:val="53"/>
              <w:keepNext w:val="0"/>
              <w:keepLines w:val="0"/>
              <w:suppressLineNumbers w:val="0"/>
              <w:spacing w:before="0" w:beforeAutospacing="0" w:after="0" w:afterAutospacing="0"/>
              <w:ind w:left="0" w:right="0" w:firstLine="422"/>
              <w:jc w:val="center"/>
              <w:rPr>
                <w:rFonts w:hint="default" w:ascii="Times New Roman" w:hAnsi="Times New Roman" w:cs="Times New Roman"/>
                <w:b/>
                <w:bCs/>
                <w:color w:val="auto"/>
                <w:kern w:val="2"/>
                <w:sz w:val="24"/>
                <w:szCs w:val="24"/>
              </w:rPr>
            </w:pPr>
            <w:r>
              <w:rPr>
                <w:rFonts w:hint="default" w:ascii="Times New Roman" w:hAnsi="Times New Roman" w:cs="Times New Roman"/>
                <w:b/>
                <w:bCs/>
                <w:color w:val="auto"/>
                <w:kern w:val="2"/>
                <w:sz w:val="24"/>
                <w:szCs w:val="24"/>
              </w:rPr>
              <w:t>表1-</w:t>
            </w:r>
            <w:r>
              <w:rPr>
                <w:rFonts w:hint="eastAsia" w:ascii="Times New Roman" w:hAnsi="Times New Roman" w:cs="Times New Roman"/>
                <w:b/>
                <w:bCs/>
                <w:color w:val="auto"/>
                <w:kern w:val="2"/>
                <w:sz w:val="24"/>
                <w:szCs w:val="24"/>
                <w:lang w:val="en-US" w:eastAsia="zh-CN"/>
              </w:rPr>
              <w:t>2</w:t>
            </w:r>
            <w:r>
              <w:rPr>
                <w:rFonts w:hint="default" w:ascii="Times New Roman" w:hAnsi="Times New Roman" w:cs="Times New Roman"/>
                <w:b/>
                <w:bCs/>
                <w:color w:val="auto"/>
                <w:kern w:val="2"/>
                <w:sz w:val="24"/>
                <w:szCs w:val="24"/>
              </w:rPr>
              <w:t>与湛江市2023年“三线一单”生态环境分区管控成果更新调整成果的相符性分析</w:t>
            </w:r>
          </w:p>
          <w:tbl>
            <w:tblPr>
              <w:tblStyle w:val="3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823"/>
              <w:gridCol w:w="781"/>
              <w:gridCol w:w="2770"/>
              <w:gridCol w:w="1868"/>
            </w:tblGrid>
            <w:tr w14:paraId="7912A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73" w:type="pct"/>
                  <w:vAlign w:val="center"/>
                </w:tcPr>
                <w:p w14:paraId="540D4369">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类别</w:t>
                  </w:r>
                </w:p>
              </w:tc>
              <w:tc>
                <w:tcPr>
                  <w:tcW w:w="3101" w:type="pct"/>
                  <w:gridSpan w:val="3"/>
                  <w:vAlign w:val="center"/>
                </w:tcPr>
                <w:p w14:paraId="4A8F6593">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要求</w:t>
                  </w:r>
                </w:p>
              </w:tc>
              <w:tc>
                <w:tcPr>
                  <w:tcW w:w="1324" w:type="pct"/>
                  <w:vAlign w:val="center"/>
                </w:tcPr>
                <w:p w14:paraId="100FE520">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本项目情况</w:t>
                  </w:r>
                </w:p>
              </w:tc>
            </w:tr>
            <w:tr w14:paraId="58F97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3" w:type="pct"/>
                  <w:vMerge w:val="restart"/>
                  <w:vAlign w:val="center"/>
                </w:tcPr>
                <w:p w14:paraId="616A03B7">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全市生态准入要求</w:t>
                  </w:r>
                </w:p>
              </w:tc>
              <w:tc>
                <w:tcPr>
                  <w:tcW w:w="584" w:type="pct"/>
                  <w:vAlign w:val="center"/>
                </w:tcPr>
                <w:p w14:paraId="5C1B53CD">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1.区域布局管控要求</w:t>
                  </w:r>
                </w:p>
              </w:tc>
              <w:tc>
                <w:tcPr>
                  <w:tcW w:w="2516" w:type="pct"/>
                  <w:gridSpan w:val="2"/>
                  <w:vAlign w:val="center"/>
                </w:tcPr>
                <w:p w14:paraId="5FD2CF3F">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优先保护生态空间，生态保护红线、一般生态空间严格按照国家、省有关要求进行管理。一般生态空间内人工商品林，允许依法进行抚育采伐、择伐和树种更新等经营活动。筑牢廉江北部丘陵山地和雷州半岛中部林地生态屏障，加快推进以鉴江、鹤地水库-九洲江、南渡河、遂溪河等为骨干的绿色生态水网体系建设，严格保护红树林、珊瑚礁、海草床和中华白海豚、鲎类等各级各类自然保护地，严格保护重要水生生物产卵场、孵育场，大力保护生物多样性。全面推进森林、湿地、海洋、农田及城乡等生态系统的保护与修复，提升生态系统稳定性和生态服务功能。</w:t>
                  </w:r>
                </w:p>
                <w:p w14:paraId="31F5E4EB">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全力推进以临港产业、滨海旅游、特色优势农业、军民融合发展为重点的湛江特色现代产业体系建设，加快推动湛江临港大型工业园等重大平台高质量发展。积极推进智能家电、农副食（海、水）产品加工、家具建材、羽绒制鞋等四大优势传统产业转型升级，推动新能源汽车、装备制造、现代医药、电子信息等战略性新兴产业规模化、集约化发展。延伸完善循环产业链条，提升绿色钢铁、绿色石化、高端造纸、绿色能源等战略性支柱产业绿色发展水平，打造高端绿色临港重化</w:t>
                  </w:r>
                  <w:r>
                    <w:rPr>
                      <w:rFonts w:hint="eastAsia" w:cs="Times New Roman"/>
                      <w:color w:val="auto"/>
                      <w:lang w:eastAsia="zh-CN"/>
                    </w:rPr>
                    <w:t>应急救援中心</w:t>
                  </w:r>
                  <w:r>
                    <w:rPr>
                      <w:rFonts w:hint="default" w:ascii="Times New Roman" w:hAnsi="Times New Roman" w:cs="Times New Roman"/>
                      <w:color w:val="auto"/>
                    </w:rPr>
                    <w:t>。加强“两高”行业建设项目生态环境源头防控。推动工业项目入园集聚发展。推进既有园区（集聚地）循环化改造，开展环境质量评估，推动公共设施共建共享、能源梯级利用、资源循环利用和污染物集中安全处置。科学制定畜禽养殖发展规划，优化雷州半岛畜禽养殖布局。</w:t>
                  </w:r>
                </w:p>
              </w:tc>
              <w:tc>
                <w:tcPr>
                  <w:tcW w:w="1324" w:type="pct"/>
                  <w:vAlign w:val="center"/>
                </w:tcPr>
                <w:p w14:paraId="60309ED7">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本项目位于</w:t>
                  </w:r>
                  <w:r>
                    <w:rPr>
                      <w:rFonts w:hint="eastAsia" w:cs="Times New Roman"/>
                      <w:color w:val="auto"/>
                      <w:highlight w:val="none"/>
                      <w:lang w:val="en-US" w:eastAsia="zh-CN"/>
                    </w:rPr>
                    <w:t>广东省廉江市高桥镇大冲村村委横冲村旁高岭土厂</w:t>
                  </w:r>
                  <w:r>
                    <w:rPr>
                      <w:rFonts w:hint="default" w:ascii="Times New Roman" w:hAnsi="Times New Roman" w:cs="Times New Roman"/>
                      <w:color w:val="auto"/>
                    </w:rPr>
                    <w:t>，</w:t>
                  </w:r>
                  <w:r>
                    <w:rPr>
                      <w:rFonts w:hint="eastAsia" w:cs="Times New Roman"/>
                      <w:color w:val="auto"/>
                      <w:highlight w:val="none"/>
                      <w:lang w:val="en-US" w:eastAsia="zh-CN"/>
                    </w:rPr>
                    <w:t>属于生态保护和环境治理业</w:t>
                  </w:r>
                  <w:r>
                    <w:rPr>
                      <w:rFonts w:hint="default" w:ascii="Times New Roman" w:hAnsi="Times New Roman" w:cs="Times New Roman"/>
                      <w:color w:val="auto"/>
                      <w:highlight w:val="none"/>
                    </w:rPr>
                    <w:t>，</w:t>
                  </w:r>
                  <w:r>
                    <w:rPr>
                      <w:rFonts w:hint="default" w:ascii="Times New Roman" w:hAnsi="Times New Roman" w:eastAsia="宋体" w:cs="Times New Roman"/>
                      <w:color w:val="auto"/>
                      <w:kern w:val="0"/>
                      <w:szCs w:val="21"/>
                    </w:rPr>
                    <w:t>项目选址地不属于方案中划定的生态保护红线范围</w:t>
                  </w:r>
                  <w:r>
                    <w:rPr>
                      <w:rFonts w:hint="eastAsia" w:ascii="Times New Roman" w:hAnsi="Times New Roman" w:eastAsia="宋体" w:cs="Times New Roman"/>
                      <w:color w:val="auto"/>
                      <w:kern w:val="0"/>
                      <w:szCs w:val="21"/>
                      <w:lang w:eastAsia="zh-CN"/>
                    </w:rPr>
                    <w:t>，</w:t>
                  </w:r>
                  <w:r>
                    <w:rPr>
                      <w:rFonts w:hint="default" w:ascii="Times New Roman" w:hAnsi="Times New Roman" w:cs="Times New Roman"/>
                      <w:color w:val="auto"/>
                    </w:rPr>
                    <w:t>符合区域布局管控相关要求。</w:t>
                  </w:r>
                </w:p>
              </w:tc>
            </w:tr>
            <w:tr w14:paraId="5781D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3" w:type="pct"/>
                  <w:vMerge w:val="continue"/>
                  <w:vAlign w:val="center"/>
                </w:tcPr>
                <w:p w14:paraId="59C61701">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84" w:type="pct"/>
                  <w:vAlign w:val="center"/>
                </w:tcPr>
                <w:p w14:paraId="7EF52C0F">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2.能源资源利用要求</w:t>
                  </w:r>
                </w:p>
              </w:tc>
              <w:tc>
                <w:tcPr>
                  <w:tcW w:w="2516" w:type="pct"/>
                  <w:gridSpan w:val="2"/>
                  <w:vAlign w:val="center"/>
                </w:tcPr>
                <w:p w14:paraId="5DD6984E">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推进廉江新能源项目安全高效发展，因地制宜有序发展陆上风电，规模化开发海上风电，合理布局光伏发电。严格控制并逐步减少煤炭使用量。县级及以上城市建成区和天然气管网覆盖范围内，禁止新建每小时35蒸吨以下燃煤锅炉。在集中供热管网覆盖范围内，禁止新建、扩建燃用煤炭、重油、渣油、生物质等分散供热锅炉。逐步扩大高污染燃料禁燃区范围。推进湛江港、徐闻港等港口船舶能源清洁化改造，逐步提高岸电使用和港作机械“非油”比例。推进“两高”行业减污降碳协同控制，新建、扩建“两高”项目采用先进适用的工艺技术和装备，单位产品物耗、能耗、水耗等达到清洁生产先进水平。</w:t>
                  </w:r>
                </w:p>
                <w:p w14:paraId="04C05C55">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实行最严格水资源管理制度，贯彻落实“节水优先”方针，发展节水型工业、农业、林业和服务业。提高水资源利用效率，压减赤坎区、霞山区等地下水超采区的采水量，维持采补平衡。严格落实鉴江、九洲江、遂溪河、南渡河、袂花江等流域重要控制断面生态流量保障目标，加快推进鹤地水库恢复正常蓄水位。</w:t>
                  </w:r>
                </w:p>
                <w:p w14:paraId="52786146">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严格落实自然岸线保有率管控目标，除国家重大项目外，全面禁止围填海。强化用地指标精细化管理，充分挖掘建设用地潜力，大幅提升土地节约集约利用效率。推动绿色矿山建设，提高矿产资源产出率。</w:t>
                  </w:r>
                </w:p>
              </w:tc>
              <w:tc>
                <w:tcPr>
                  <w:tcW w:w="1324" w:type="pct"/>
                  <w:vAlign w:val="center"/>
                </w:tcPr>
                <w:p w14:paraId="3D6E3E51">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highlight w:val="none"/>
                    </w:rPr>
                    <w:t>本项目</w:t>
                  </w:r>
                  <w:r>
                    <w:rPr>
                      <w:rFonts w:hint="eastAsia" w:cs="Times New Roman"/>
                      <w:color w:val="auto"/>
                      <w:highlight w:val="none"/>
                      <w:lang w:val="en-US" w:eastAsia="zh-CN"/>
                    </w:rPr>
                    <w:t>属于生态保护和环境治理业</w:t>
                  </w:r>
                  <w:r>
                    <w:rPr>
                      <w:rFonts w:hint="default" w:ascii="Times New Roman" w:hAnsi="Times New Roman" w:cs="Times New Roman"/>
                      <w:color w:val="auto"/>
                    </w:rPr>
                    <w:t>，不属于“两高”行业，本项目生产过程中的电均由市政电网供应；本项目不</w:t>
                  </w:r>
                  <w:r>
                    <w:rPr>
                      <w:rFonts w:hint="eastAsia" w:cs="Times New Roman"/>
                      <w:color w:val="auto"/>
                      <w:lang w:val="en-US" w:eastAsia="zh-CN"/>
                    </w:rPr>
                    <w:t>位于</w:t>
                  </w:r>
                  <w:r>
                    <w:rPr>
                      <w:rFonts w:hint="default" w:ascii="Times New Roman" w:hAnsi="Times New Roman" w:cs="Times New Roman"/>
                      <w:color w:val="auto"/>
                    </w:rPr>
                    <w:t>禁采区范围内。因此，本项目建设符合能源资源利用管控要求。</w:t>
                  </w:r>
                </w:p>
              </w:tc>
            </w:tr>
            <w:tr w14:paraId="3B140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3" w:type="pct"/>
                  <w:vMerge w:val="continue"/>
                  <w:vAlign w:val="center"/>
                </w:tcPr>
                <w:p w14:paraId="6ED7B3CF">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84" w:type="pct"/>
                  <w:vAlign w:val="center"/>
                </w:tcPr>
                <w:p w14:paraId="7D109735">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3.污染物排放管控要求</w:t>
                  </w:r>
                </w:p>
              </w:tc>
              <w:tc>
                <w:tcPr>
                  <w:tcW w:w="2516" w:type="pct"/>
                  <w:gridSpan w:val="2"/>
                  <w:vAlign w:val="center"/>
                </w:tcPr>
                <w:p w14:paraId="08F99166">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实施重点污染物总量控制，新建项目原则上实施氮氧化物和挥发性有机物等量替代或减量替代；超过重点污染物排放总量控制指标或未完成环境质量改善目标的区域，新建、改建和扩建项目实施重点污染物减量替代。新建、改建和扩建石化、煤化工、燃煤发电（含热电）、钢铁、有色金属冶炼、制浆造纸等行业项目应满足区域、流域控制单元环境质量改善目标管理要求。</w:t>
                  </w:r>
                </w:p>
                <w:p w14:paraId="33062997">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实施重点行业清洁化改造，火电及钢铁行业企业大气污染物达到可核查、可监管的超低排放标准，石化、化工及有色金属冶炼等行业企业严格执行大气污染物特别排放限值。实施工业炉窑降碳减污综合治理，推动工业炉窑燃料清洁低碳化替代、废气治理设施升级改造、全过程无组织排放管控。逐步开展35蒸吨及以上燃气锅炉低氮燃烧改造，新建燃气锅炉配套有效脱硝措施，减少氮氧化物排放。严格实施涉VOCs排放行业企业分级和清单化管控。加强石化、化工、包装印刷、制鞋、表面涂装、家具等重点行业VOCs深度治理，推动源头、过程和末端的VOCs全过程控制。涉VOCs重点行业新建、改建和扩建项目不推荐使用光氧化、光催化、低温等离子等低效治理设施，已建项目逐步淘汰光氧化、光催化、低温等离子等治理措施。鼓励东海岛石化产业园等石化园区建设VOCs自动监测和组分分析站点。</w:t>
                  </w:r>
                </w:p>
                <w:p w14:paraId="4AA5EECE">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地表水Ⅰ、Ⅱ类水域，以及Ⅲ类水域中的保护区、游泳区，禁止新建排污口，已建成的排污口应当实行污染物总量控制且不得增加污染物排放量；饮用水水源保护区内已建的排污口应当依法拆除。严格执行小东江流域水污染物排放标准。东海岛石化产业园、湛江钢铁</w:t>
                  </w:r>
                  <w:r>
                    <w:rPr>
                      <w:rFonts w:hint="eastAsia" w:cs="Times New Roman"/>
                      <w:color w:val="auto"/>
                      <w:lang w:eastAsia="zh-CN"/>
                    </w:rPr>
                    <w:t>应急救援中心</w:t>
                  </w:r>
                  <w:r>
                    <w:rPr>
                      <w:rFonts w:hint="default" w:ascii="Times New Roman" w:hAnsi="Times New Roman" w:cs="Times New Roman"/>
                      <w:color w:val="auto"/>
                    </w:rPr>
                    <w:t>、森工产业园等专业园区或</w:t>
                  </w:r>
                  <w:r>
                    <w:rPr>
                      <w:rFonts w:hint="eastAsia" w:cs="Times New Roman"/>
                      <w:color w:val="auto"/>
                      <w:lang w:eastAsia="zh-CN"/>
                    </w:rPr>
                    <w:t>应急救援中心</w:t>
                  </w:r>
                  <w:r>
                    <w:rPr>
                      <w:rFonts w:hint="default" w:ascii="Times New Roman" w:hAnsi="Times New Roman" w:cs="Times New Roman"/>
                      <w:color w:val="auto"/>
                    </w:rPr>
                    <w:t>应不断提升工艺水平，提高中水回用率，逐步削减水污染物排放总量。实施城镇生活污水处理提质增效，加快补齐生活污水收集和处理设施短板，稳步提升城市生活污水集中收集率和污水处理厂进水生化需氧量（BOD）浓度。因地制宜推进农村生活污水治理。持续推进化肥、农药减量增效，深入推进测土配方施肥和农作物病虫害统防统治与绿色防控。严格畜禽养殖禁养区管理，加强畜禽养殖废弃物资源化利用，到2025年，全市畜禽粪污综合利用率达到80%以上，规模化养殖场粪污处理设施装备配套基本实现全覆盖。</w:t>
                  </w:r>
                </w:p>
                <w:p w14:paraId="13B7880A">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统筹陆海污染治理，加强湛江港、雷州湾、博茂港湾等重点海湾陆源污染控制和环境综合整治。新建、改建、扩建的入海排污口纳入备案管理。严格控制近海养殖密度，科学划定高位池禁养区，开展高位池养殖排查和分类整治，推动养殖尾水达标排放或资源化利用。</w:t>
                  </w:r>
                </w:p>
              </w:tc>
              <w:tc>
                <w:tcPr>
                  <w:tcW w:w="1324" w:type="pct"/>
                  <w:vAlign w:val="center"/>
                </w:tcPr>
                <w:p w14:paraId="7C19CDCC">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highlight w:val="none"/>
                    </w:rPr>
                    <w:t>本项目</w:t>
                  </w:r>
                  <w:r>
                    <w:rPr>
                      <w:rFonts w:hint="eastAsia" w:cs="Times New Roman"/>
                      <w:color w:val="auto"/>
                      <w:highlight w:val="none"/>
                      <w:lang w:val="en-US" w:eastAsia="zh-CN"/>
                    </w:rPr>
                    <w:t>属于生态保护和环境治理业</w:t>
                  </w:r>
                  <w:r>
                    <w:rPr>
                      <w:rFonts w:hint="default" w:ascii="Times New Roman" w:hAnsi="Times New Roman" w:cs="Times New Roman"/>
                      <w:color w:val="auto"/>
                      <w:highlight w:val="none"/>
                    </w:rPr>
                    <w:t>，</w:t>
                  </w:r>
                  <w:r>
                    <w:rPr>
                      <w:rFonts w:hint="default" w:ascii="Times New Roman" w:hAnsi="Times New Roman" w:cs="Times New Roman"/>
                      <w:color w:val="auto"/>
                    </w:rPr>
                    <w:t>不属于石化、化工、包装印刷、制鞋、表面涂装、家具等VOCs重点排放行业，因此本项目符合污染物排放管控要求。</w:t>
                  </w:r>
                </w:p>
              </w:tc>
            </w:tr>
            <w:tr w14:paraId="41511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3" w:type="pct"/>
                  <w:vMerge w:val="continue"/>
                  <w:vAlign w:val="center"/>
                </w:tcPr>
                <w:p w14:paraId="396537EC">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84" w:type="pct"/>
                  <w:vAlign w:val="center"/>
                </w:tcPr>
                <w:p w14:paraId="2CA1B73E">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4.环境风险防控要求</w:t>
                  </w:r>
                </w:p>
              </w:tc>
              <w:tc>
                <w:tcPr>
                  <w:tcW w:w="2516" w:type="pct"/>
                  <w:gridSpan w:val="2"/>
                  <w:vAlign w:val="center"/>
                </w:tcPr>
                <w:p w14:paraId="6F5C11D4">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深化粤桂鹤地水库-九洲江流域，湛茂小东江、袂花江等跨界流域水环境污染联防联治机制，共同打击跨区域、跨流域环境违法行为。加强南渡河、雷州青年运河等供水通道干流沿岸以及饮用水水源地、备用水源环境风险防控，提高地下水饮用水水源地规范化整治水平，建立完善突发环境事件应急管理体系。</w:t>
                  </w:r>
                </w:p>
                <w:p w14:paraId="5C326C13">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加强湛江临港大型工业园、霞山临港产业转移工业园等涉危险化学品和有毒有害气体的工业园区的环境风险防控，开展有毒有害气体监测，落实环境风险应急预案。加强环境风险分级分类管理，强化化工企业、涉重金属行业和尾矿库等重点环境风险源的环境风险防控。鼓励东海岛石化产业园、湛江钢铁</w:t>
                  </w:r>
                  <w:r>
                    <w:rPr>
                      <w:rFonts w:hint="eastAsia" w:cs="Times New Roman"/>
                      <w:color w:val="auto"/>
                      <w:lang w:eastAsia="zh-CN"/>
                    </w:rPr>
                    <w:t>应急救援中心</w:t>
                  </w:r>
                  <w:r>
                    <w:rPr>
                      <w:rFonts w:hint="default" w:ascii="Times New Roman" w:hAnsi="Times New Roman" w:cs="Times New Roman"/>
                      <w:color w:val="auto"/>
                    </w:rPr>
                    <w:t>、森工产业园等专业园区或</w:t>
                  </w:r>
                  <w:r>
                    <w:rPr>
                      <w:rFonts w:hint="eastAsia" w:cs="Times New Roman"/>
                      <w:color w:val="auto"/>
                      <w:lang w:eastAsia="zh-CN"/>
                    </w:rPr>
                    <w:t>应急救援中心</w:t>
                  </w:r>
                  <w:r>
                    <w:rPr>
                      <w:rFonts w:hint="default" w:ascii="Times New Roman" w:hAnsi="Times New Roman" w:cs="Times New Roman"/>
                      <w:color w:val="auto"/>
                    </w:rPr>
                    <w:t>结合实际配套建设危险废物集中贮存、预处理和处置设施。</w:t>
                  </w:r>
                </w:p>
                <w:p w14:paraId="1E389539">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实施农用地分类管理，依法划定特定农产品禁止生产区域，加快受污染耕地的安全利用与严格管控，加强农产品检测，严格控制重金属超标风险。加强土壤污染重点监管单位规范化管理，严格落实污染隐患排查、自行监测、拆除活动污染防治、排污许可制度等。规范受污染地块准入管理。</w:t>
                  </w:r>
                </w:p>
              </w:tc>
              <w:tc>
                <w:tcPr>
                  <w:tcW w:w="1324" w:type="pct"/>
                  <w:vAlign w:val="center"/>
                </w:tcPr>
                <w:p w14:paraId="39E6E02F">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不属于化工企业、涉重金属行业和尾矿库等企业。项目将按规定开展突发环境事件风险评估，完善突发环境事件风险防控措施，制定突发环境事件应急预案并备案、演练，加强环境应急能力建设，因此，本项目符合环境风险防控要求。</w:t>
                  </w:r>
                </w:p>
              </w:tc>
            </w:tr>
            <w:tr w14:paraId="37447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73" w:type="pct"/>
                  <w:vMerge w:val="restart"/>
                  <w:vAlign w:val="center"/>
                </w:tcPr>
                <w:p w14:paraId="7061D74A">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环境管控单元准入清单</w:t>
                  </w:r>
                </w:p>
              </w:tc>
              <w:tc>
                <w:tcPr>
                  <w:tcW w:w="584" w:type="pct"/>
                  <w:vMerge w:val="restart"/>
                  <w:vAlign w:val="center"/>
                </w:tcPr>
                <w:p w14:paraId="54AF74FA">
                  <w:pPr>
                    <w:pStyle w:val="77"/>
                    <w:keepNext w:val="0"/>
                    <w:keepLines w:val="0"/>
                    <w:suppressLineNumbers w:val="0"/>
                    <w:tabs>
                      <w:tab w:val="left" w:pos="480"/>
                    </w:tabs>
                    <w:spacing w:before="0" w:beforeAutospacing="0" w:after="0" w:afterAutospacing="0"/>
                    <w:ind w:left="0" w:right="0"/>
                    <w:rPr>
                      <w:rFonts w:hint="eastAsia" w:ascii="Times New Roman" w:hAnsi="Times New Roman" w:eastAsia="宋体" w:cs="Times New Roman"/>
                      <w:color w:val="auto"/>
                      <w:lang w:eastAsia="zh-CN"/>
                    </w:rPr>
                  </w:pPr>
                  <w:r>
                    <w:rPr>
                      <w:rFonts w:hint="default" w:ascii="Times New Roman" w:hAnsi="Times New Roman" w:cs="Times New Roman"/>
                      <w:color w:val="auto"/>
                    </w:rPr>
                    <w:t>见附图</w:t>
                  </w:r>
                  <w:r>
                    <w:rPr>
                      <w:rFonts w:hint="eastAsia" w:cs="Times New Roman"/>
                      <w:color w:val="auto"/>
                      <w:lang w:val="en-US" w:eastAsia="zh-CN"/>
                    </w:rPr>
                    <w:t>9</w:t>
                  </w:r>
                </w:p>
              </w:tc>
              <w:tc>
                <w:tcPr>
                  <w:tcW w:w="554" w:type="pct"/>
                  <w:vAlign w:val="center"/>
                </w:tcPr>
                <w:p w14:paraId="16974F18">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管控维度</w:t>
                  </w:r>
                </w:p>
              </w:tc>
              <w:tc>
                <w:tcPr>
                  <w:tcW w:w="1962" w:type="pct"/>
                  <w:vAlign w:val="center"/>
                </w:tcPr>
                <w:p w14:paraId="0F0CAD60">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管控要求</w:t>
                  </w:r>
                </w:p>
              </w:tc>
              <w:tc>
                <w:tcPr>
                  <w:tcW w:w="1324" w:type="pct"/>
                  <w:vAlign w:val="center"/>
                </w:tcPr>
                <w:p w14:paraId="1DA4233D">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lang w:val="en-US"/>
                    </w:rPr>
                  </w:pPr>
                  <w:r>
                    <w:rPr>
                      <w:rFonts w:hint="default" w:ascii="Times New Roman" w:hAnsi="Times New Roman" w:cs="Times New Roman"/>
                      <w:color w:val="auto"/>
                    </w:rPr>
                    <w:t>本项目位于ZH4408</w:t>
                  </w:r>
                  <w:r>
                    <w:rPr>
                      <w:rFonts w:hint="eastAsia" w:cs="Times New Roman"/>
                      <w:color w:val="auto"/>
                      <w:lang w:val="en-US" w:eastAsia="zh-CN"/>
                    </w:rPr>
                    <w:t>8120026</w:t>
                  </w:r>
                  <w:r>
                    <w:rPr>
                      <w:rFonts w:hint="eastAsia" w:cs="Times New Roman"/>
                      <w:color w:val="auto"/>
                      <w:kern w:val="2"/>
                      <w:sz w:val="21"/>
                      <w:szCs w:val="24"/>
                      <w:highlight w:val="none"/>
                      <w:lang w:val="en-US" w:eastAsia="zh-CN"/>
                    </w:rPr>
                    <w:t>青平-车板-高桥镇重点管控单元</w:t>
                  </w:r>
                </w:p>
              </w:tc>
            </w:tr>
            <w:tr w14:paraId="2E823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73" w:type="pct"/>
                  <w:vMerge w:val="continue"/>
                  <w:vAlign w:val="center"/>
                </w:tcPr>
                <w:p w14:paraId="38EB9314">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84" w:type="pct"/>
                  <w:vMerge w:val="continue"/>
                  <w:vAlign w:val="center"/>
                </w:tcPr>
                <w:p w14:paraId="7346FA15">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54" w:type="pct"/>
                  <w:vAlign w:val="center"/>
                </w:tcPr>
                <w:p w14:paraId="41BBB290">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区域布局管控</w:t>
                  </w:r>
                </w:p>
              </w:tc>
              <w:tc>
                <w:tcPr>
                  <w:tcW w:w="1962" w:type="pct"/>
                  <w:vAlign w:val="center"/>
                </w:tcPr>
                <w:p w14:paraId="58F6BC1E">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1-1.园区重点发展石化及其上下游配套产业。</w:t>
                  </w:r>
                </w:p>
                <w:p w14:paraId="380165C4">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1-2.园区禁止引入法律、法规、国务院决定等明确设立且与市场准入相关的禁止性规定，国家产业政策明令淘汰和限制的产品、技术、工艺、设备及行为。</w:t>
                  </w:r>
                </w:p>
                <w:p w14:paraId="620101A1">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1-3.园区紧邻生态保护红线、一般生态空间的地块，优先引进无污染、轻污染的工业项目。</w:t>
                  </w:r>
                </w:p>
                <w:p w14:paraId="2B42A1CA">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1-4.在地下水流向龙腾河和红星水库的区域布局石化产业项目时，应布局石化下游对地下水污染风险小的项目。</w:t>
                  </w:r>
                </w:p>
                <w:p w14:paraId="566BDC6F">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-5.生态保护红线内，自然保护地的核心保护区原则上禁止人为活动，其他区域严格禁止开发性、生产性建设活动，在符合现行法律法规前提下，除国家重大战略项目外，仅允许对生态功能不造成破坏的有限人为活动。</w:t>
                  </w:r>
                </w:p>
              </w:tc>
              <w:tc>
                <w:tcPr>
                  <w:tcW w:w="1324" w:type="pct"/>
                  <w:vAlign w:val="center"/>
                </w:tcPr>
                <w:p w14:paraId="3314FAE6">
                  <w:pPr>
                    <w:keepNext w:val="0"/>
                    <w:keepLines w:val="0"/>
                    <w:suppressLineNumbers w:val="0"/>
                    <w:spacing w:before="0" w:beforeAutospacing="0" w:after="0" w:afterAutospacing="0" w:line="240" w:lineRule="auto"/>
                    <w:ind w:left="0" w:right="0" w:firstLine="420" w:firstLineChars="20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w:t>
                  </w:r>
                  <w:r>
                    <w:rPr>
                      <w:rFonts w:hint="eastAsia" w:ascii="Times New Roman" w:hAnsi="Times New Roman" w:eastAsia="宋体" w:cs="Times New Roman"/>
                      <w:color w:val="auto"/>
                      <w:kern w:val="2"/>
                      <w:sz w:val="21"/>
                      <w:szCs w:val="21"/>
                      <w:lang w:val="en-US" w:eastAsia="zh-CN" w:bidi="ar-SA"/>
                    </w:rPr>
                    <w:t>属于生态保护和环境治理业</w:t>
                  </w:r>
                  <w:r>
                    <w:rPr>
                      <w:rFonts w:hint="default" w:ascii="Times New Roman" w:hAnsi="Times New Roman" w:eastAsia="宋体" w:cs="Times New Roman"/>
                      <w:color w:val="auto"/>
                      <w:kern w:val="2"/>
                      <w:sz w:val="21"/>
                      <w:szCs w:val="21"/>
                      <w:lang w:val="en-US" w:eastAsia="zh-CN" w:bidi="ar-SA"/>
                    </w:rPr>
                    <w:t>，根据国家《</w:t>
                  </w:r>
                  <w:r>
                    <w:rPr>
                      <w:rFonts w:hint="eastAsia" w:ascii="Times New Roman" w:hAnsi="Times New Roman" w:eastAsia="宋体" w:cs="Times New Roman"/>
                      <w:color w:val="auto"/>
                      <w:kern w:val="2"/>
                      <w:sz w:val="21"/>
                      <w:szCs w:val="21"/>
                      <w:lang w:val="en-US" w:eastAsia="zh-CN" w:bidi="ar-SA"/>
                    </w:rPr>
                    <w:t>产业结构调整指导目录》（2024年本）</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属于鼓励类</w:t>
                  </w:r>
                  <w:r>
                    <w:rPr>
                      <w:rFonts w:hint="eastAsia" w:ascii="Times New Roman" w:hAnsi="Times New Roman" w:eastAsia="宋体" w:cs="Times New Roman"/>
                      <w:color w:val="auto"/>
                      <w:kern w:val="0"/>
                      <w:szCs w:val="21"/>
                      <w:lang w:val="en-US" w:eastAsia="zh-CN"/>
                    </w:rPr>
                    <w:t>“四十二、环境保护与资源节约综合利用8.废弃物循环利用——建筑垃圾等工业废弃物循环利用”</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因此本项目符合区域布局管控相关要求。</w:t>
                  </w:r>
                </w:p>
                <w:p w14:paraId="1118F98F">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r>
            <w:tr w14:paraId="40421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73" w:type="pct"/>
                  <w:vMerge w:val="continue"/>
                  <w:vAlign w:val="center"/>
                </w:tcPr>
                <w:p w14:paraId="475B5A81">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84" w:type="pct"/>
                  <w:vMerge w:val="continue"/>
                  <w:vAlign w:val="center"/>
                </w:tcPr>
                <w:p w14:paraId="1BF9FE04">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54" w:type="pct"/>
                  <w:vAlign w:val="center"/>
                </w:tcPr>
                <w:p w14:paraId="64194D0F">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能源资源利用</w:t>
                  </w:r>
                </w:p>
              </w:tc>
              <w:tc>
                <w:tcPr>
                  <w:tcW w:w="1962" w:type="pct"/>
                  <w:vAlign w:val="center"/>
                </w:tcPr>
                <w:p w14:paraId="5FABB3C5">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2-1.入园企业应贯彻清洁生产要求，有行业清洁生产标准的新入园项目需达到国内清洁生产先进企业水平，其中石化行业项目清洁生产水平须达到国际先进水平；现有不符合要求的企业须通过整治提升满足清洁生产要求。</w:t>
                  </w:r>
                </w:p>
                <w:p w14:paraId="60A60BAC">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2-2.推进园区循环化改造，推动公共设施共建共享、能源梯级利用、资源循环利用和污染物集中安全处置等。</w:t>
                  </w:r>
                </w:p>
                <w:p w14:paraId="7340EE30">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2-3.园区实行集中供热后，除中科炼化、巴斯夫一体化项目外，其它项目不得新建、改建和扩建燃烧煤炭、重油等燃料的供热设施。</w:t>
                  </w:r>
                </w:p>
                <w:p w14:paraId="13E7FE98">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2-4.严格控制地下水的开采，保持地下水水位不低于海平面或者咸水区域的地下水水位。</w:t>
                  </w:r>
                </w:p>
              </w:tc>
              <w:tc>
                <w:tcPr>
                  <w:tcW w:w="1324" w:type="pct"/>
                  <w:vAlign w:val="center"/>
                </w:tcPr>
                <w:p w14:paraId="7FE398EE">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本项目运营后全面贯彻清洁生产要求，本项目不使用燃烧煤炭、重油等燃料的供热设施；项目供水有市政管网供给。</w:t>
                  </w:r>
                </w:p>
              </w:tc>
            </w:tr>
            <w:tr w14:paraId="24F3A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73" w:type="pct"/>
                  <w:vMerge w:val="continue"/>
                  <w:vAlign w:val="center"/>
                </w:tcPr>
                <w:p w14:paraId="105349E7">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84" w:type="pct"/>
                  <w:vMerge w:val="continue"/>
                  <w:vAlign w:val="center"/>
                </w:tcPr>
                <w:p w14:paraId="217F65B6">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54" w:type="pct"/>
                  <w:vAlign w:val="center"/>
                </w:tcPr>
                <w:p w14:paraId="16CABB72">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污染物排放管控</w:t>
                  </w:r>
                </w:p>
              </w:tc>
              <w:tc>
                <w:tcPr>
                  <w:tcW w:w="1962" w:type="pct"/>
                  <w:vAlign w:val="center"/>
                </w:tcPr>
                <w:p w14:paraId="3F9A505C">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3-1.化学需氧量、氨氮、石油类排放总量应控制在规划环评和地方生态环境保护部门核定的环境总量以内。</w:t>
                  </w:r>
                </w:p>
                <w:p w14:paraId="321865D1">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3-2.园区新建、扩建石化项目应实行大气污染物现有源等量或减量替代。</w:t>
                  </w:r>
                </w:p>
                <w:p w14:paraId="09A08D6F">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3-3.加强对园区内石化、化工及其它涉VOCs 行业企业，原油、成品油、有机化学品等挥发性有机液体储罐和港口码头油气回收设施的排查和清单化管控，推动源头替代、过程控制和末端治理。</w:t>
                  </w:r>
                </w:p>
                <w:p w14:paraId="34BD2535">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3-4.新建、改建和扩建涉VOCs 重点行业项目，原则上不推荐使用光氧化、光催化、低温等离子等低效治理措施，已建项目逐步淘汰光氧化、光催化、低温等离子治理设施；其中巴斯夫、中科炼化等石化、化工重点行业企业排放的特征污染物（VOCs 和非甲烷总烃等）应设置废气收集系统，经冷凝回收、催化燃烧等措施处理后达标排放。</w:t>
                  </w:r>
                </w:p>
                <w:p w14:paraId="0A555195">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3-5.园区内现有及新建石化等大气污染重点行业企业及锅炉项目，应当采用污染防治先进可行技术，使重点大气污染物排放浓度达到国家和省的超低排放要求。</w:t>
                  </w:r>
                </w:p>
                <w:p w14:paraId="6D9ABC34">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3-6.加快园区规划污水处理厂及配套管网建设。</w:t>
                  </w:r>
                </w:p>
              </w:tc>
              <w:tc>
                <w:tcPr>
                  <w:tcW w:w="1324" w:type="pct"/>
                  <w:vAlign w:val="center"/>
                </w:tcPr>
                <w:p w14:paraId="6DB78948">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w:t>
                  </w:r>
                  <w:r>
                    <w:rPr>
                      <w:rFonts w:hint="eastAsia" w:cs="Times New Roman"/>
                      <w:color w:val="auto"/>
                      <w:lang w:val="en-US" w:eastAsia="zh-CN"/>
                    </w:rPr>
                    <w:t>属于环境保护与资源节约综合利用</w:t>
                  </w:r>
                  <w:r>
                    <w:rPr>
                      <w:rFonts w:hint="default" w:ascii="Times New Roman" w:hAnsi="Times New Roman" w:cs="Times New Roman"/>
                      <w:color w:val="auto"/>
                    </w:rPr>
                    <w:t>，项目不涉及VOCs 重点行业项目；项目不新增大气污染物排放，不会对周围大气环境造成影响</w:t>
                  </w:r>
                </w:p>
              </w:tc>
            </w:tr>
            <w:tr w14:paraId="78F05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73" w:type="pct"/>
                  <w:vMerge w:val="continue"/>
                  <w:vAlign w:val="center"/>
                </w:tcPr>
                <w:p w14:paraId="574F820D">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84" w:type="pct"/>
                  <w:vMerge w:val="continue"/>
                  <w:vAlign w:val="center"/>
                </w:tcPr>
                <w:p w14:paraId="78CED113">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p>
              </w:tc>
              <w:tc>
                <w:tcPr>
                  <w:tcW w:w="554" w:type="pct"/>
                  <w:vAlign w:val="center"/>
                </w:tcPr>
                <w:p w14:paraId="26995A57">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环境风险防控</w:t>
                  </w:r>
                </w:p>
              </w:tc>
              <w:tc>
                <w:tcPr>
                  <w:tcW w:w="1962" w:type="pct"/>
                  <w:vAlign w:val="center"/>
                </w:tcPr>
                <w:p w14:paraId="61865524">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4-1.园区内石化、化工等重点监管行业企业，以及污水处理池、应急池等存在土壤污染风险的设施，应当依法依规设计、建设、安装有关防腐蚀、防泄漏设施和泄漏监测装置，依法开展自行监测、隐患排查和周边监测，防止有毒有害物质污染土壤和地下水。</w:t>
                  </w:r>
                </w:p>
                <w:p w14:paraId="46FCEACA">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4-2.科学论证巴斯夫、中科炼化等涉危险化学品企业的环境防护距离。</w:t>
                  </w:r>
                </w:p>
                <w:p w14:paraId="371C56EA">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4-3.装卸油类的港口、码头、装卸站和船舶必须编制溢油污染应急计划、并配备相应的溢油污染应急设备和器材。</w:t>
                  </w:r>
                </w:p>
                <w:p w14:paraId="7CA4C8C0">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4-4.强化区域环境风险联防联控，建立企业、园区、区域三级联动环境风险防控体系，定期开展有毒有害气体监测和环境安全隐患排查，落实环境风险应急预案。</w:t>
                  </w:r>
                </w:p>
              </w:tc>
              <w:tc>
                <w:tcPr>
                  <w:tcW w:w="1324" w:type="pct"/>
                  <w:vAlign w:val="center"/>
                </w:tcPr>
                <w:p w14:paraId="265955AA">
                  <w:pPr>
                    <w:pStyle w:val="77"/>
                    <w:keepNext w:val="0"/>
                    <w:keepLines w:val="0"/>
                    <w:suppressLineNumbers w:val="0"/>
                    <w:tabs>
                      <w:tab w:val="left" w:pos="480"/>
                    </w:tabs>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本项目将按规定开展突发环境事件风险评估，完善突发环境事件风险防控措施，制定突发环境事件应急预案并备案、演练，加强环境应急能力建设，因此，本项目符合环境风险防控要求。</w:t>
                  </w:r>
                </w:p>
              </w:tc>
            </w:tr>
          </w:tbl>
          <w:p w14:paraId="0F4AA97B">
            <w:pPr>
              <w:pStyle w:val="53"/>
              <w:keepNext w:val="0"/>
              <w:keepLines w:val="0"/>
              <w:suppressLineNumbers w:val="0"/>
              <w:spacing w:before="0" w:beforeAutospacing="0" w:after="0" w:afterAutospacing="0"/>
              <w:ind w:left="0" w:right="0" w:firstLine="422"/>
              <w:jc w:val="center"/>
              <w:rPr>
                <w:rFonts w:hint="default" w:ascii="Times New Roman" w:hAnsi="Times New Roman" w:cs="Times New Roman"/>
                <w:b/>
                <w:bCs/>
                <w:color w:val="auto"/>
                <w:kern w:val="2"/>
                <w:sz w:val="21"/>
                <w:szCs w:val="21"/>
              </w:rPr>
            </w:pPr>
          </w:p>
          <w:p w14:paraId="283E9B9C">
            <w:pPr>
              <w:pStyle w:val="53"/>
              <w:keepNext w:val="0"/>
              <w:keepLines w:val="0"/>
              <w:suppressLineNumbers w:val="0"/>
              <w:spacing w:before="0" w:beforeAutospacing="0" w:after="0" w:afterAutospacing="0"/>
              <w:ind w:left="0" w:right="0" w:firstLine="422"/>
              <w:jc w:val="center"/>
              <w:rPr>
                <w:rFonts w:hint="default" w:ascii="Times New Roman" w:hAnsi="Times New Roman" w:cs="Times New Roman"/>
                <w:b/>
                <w:bCs/>
                <w:color w:val="auto"/>
                <w:kern w:val="2"/>
                <w:sz w:val="21"/>
                <w:szCs w:val="21"/>
              </w:rPr>
            </w:pPr>
          </w:p>
          <w:p w14:paraId="7586DF77">
            <w:pPr>
              <w:pStyle w:val="53"/>
              <w:keepNext w:val="0"/>
              <w:keepLines w:val="0"/>
              <w:suppressLineNumbers w:val="0"/>
              <w:spacing w:before="0" w:beforeAutospacing="0" w:after="0" w:afterAutospacing="0"/>
              <w:ind w:left="0" w:right="0" w:firstLine="422"/>
              <w:jc w:val="center"/>
              <w:rPr>
                <w:rFonts w:hint="default" w:ascii="Times New Roman" w:hAnsi="Times New Roman" w:cs="Times New Roman"/>
                <w:b/>
                <w:bCs/>
                <w:color w:val="auto"/>
                <w:kern w:val="2"/>
                <w:sz w:val="21"/>
                <w:szCs w:val="21"/>
              </w:rPr>
            </w:pPr>
          </w:p>
          <w:p w14:paraId="640DCB9E">
            <w:pPr>
              <w:pStyle w:val="53"/>
              <w:keepNext w:val="0"/>
              <w:keepLines w:val="0"/>
              <w:suppressLineNumbers w:val="0"/>
              <w:spacing w:before="0" w:beforeAutospacing="0" w:after="0" w:afterAutospacing="0"/>
              <w:ind w:left="0" w:right="0" w:firstLine="0" w:firstLineChars="0"/>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mc:AlternateContent>
                <mc:Choice Requires="wps">
                  <w:drawing>
                    <wp:anchor distT="0" distB="0" distL="114300" distR="114300" simplePos="0" relativeHeight="251660288" behindDoc="0" locked="0" layoutInCell="1" allowOverlap="1">
                      <wp:simplePos x="0" y="0"/>
                      <wp:positionH relativeFrom="column">
                        <wp:posOffset>831215</wp:posOffset>
                      </wp:positionH>
                      <wp:positionV relativeFrom="paragraph">
                        <wp:posOffset>3813810</wp:posOffset>
                      </wp:positionV>
                      <wp:extent cx="914400" cy="305435"/>
                      <wp:effectExtent l="540385" t="10160" r="30480" b="8890"/>
                      <wp:wrapNone/>
                      <wp:docPr id="20" name="圆角矩形标注 20"/>
                      <wp:cNvGraphicFramePr/>
                      <a:graphic xmlns:a="http://schemas.openxmlformats.org/drawingml/2006/main">
                        <a:graphicData uri="http://schemas.microsoft.com/office/word/2010/wordprocessingShape">
                          <wps:wsp>
                            <wps:cNvSpPr/>
                            <wps:spPr>
                              <a:xfrm rot="16380000">
                                <a:off x="0" y="0"/>
                                <a:ext cx="914400" cy="305435"/>
                              </a:xfrm>
                              <a:prstGeom prst="wedgeRoundRectCallout">
                                <a:avLst>
                                  <a:gd name="adj1" fmla="val 36944"/>
                                  <a:gd name="adj2" fmla="val -225259"/>
                                  <a:gd name="adj3" fmla="val 16667"/>
                                </a:avLst>
                              </a:prstGeom>
                              <a:solidFill>
                                <a:srgbClr val="FFFFFF"/>
                              </a:solidFill>
                              <a:ln w="9525" cap="flat" cmpd="sng">
                                <a:solidFill>
                                  <a:srgbClr val="000000"/>
                                </a:solidFill>
                                <a:prstDash val="solid"/>
                                <a:miter/>
                                <a:headEnd type="none" w="med" len="med"/>
                                <a:tailEnd type="none" w="med" len="med"/>
                              </a:ln>
                            </wps:spPr>
                            <wps:txbx>
                              <w:txbxContent>
                                <w:p w14:paraId="7FB81C1D">
                                  <w:r>
                                    <w:rPr>
                                      <w:rFonts w:hint="eastAsia"/>
                                    </w:rPr>
                                    <w:t>项目位置</w:t>
                                  </w:r>
                                </w:p>
                              </w:txbxContent>
                            </wps:txbx>
                            <wps:bodyPr upright="1"/>
                          </wps:wsp>
                        </a:graphicData>
                      </a:graphic>
                    </wp:anchor>
                  </w:drawing>
                </mc:Choice>
                <mc:Fallback>
                  <w:pict>
                    <v:shape id="_x0000_s1026" o:spid="_x0000_s1026" o:spt="62" type="#_x0000_t62" style="position:absolute;left:0pt;margin-left:65.45pt;margin-top:300.3pt;height:24.05pt;width:72pt;rotation:-5701632f;z-index:251660288;mso-width-relative:page;mso-height-relative:page;" fillcolor="#FFFFFF" filled="t" stroked="t" coordsize="21600,21600" o:gfxdata="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X7b+I2wAAAAsBAAAPAAAAAAAAAAEAIAAAACIAAABkcnMvZG93bnJldi54bWxQSwECFAAU&#10;AAAACACHTuJA4RU+qGACAADNBAAADgAAAAAAAAABACAAAAAqAQAAZHJzL2Uyb0RvYy54bWxQSwUG&#10;AAAAAAYABgBZAQAA/AUAAAAA&#10;" adj="18780,-37856,14400">
                      <v:fill on="t" focussize="0,0"/>
                      <v:stroke color="#000000" joinstyle="miter"/>
                      <v:imagedata o:title=""/>
                      <o:lock v:ext="edit" aspectratio="f"/>
                      <v:textbox>
                        <w:txbxContent>
                          <w:p w14:paraId="7FB81C1D">
                            <w:r>
                              <w:rPr>
                                <w:rFonts w:hint="eastAsia"/>
                              </w:rPr>
                              <w:t>项目位置</w:t>
                            </w:r>
                          </w:p>
                        </w:txbxContent>
                      </v:textbox>
                    </v:shape>
                  </w:pict>
                </mc:Fallback>
              </mc:AlternateContent>
            </w:r>
            <w:r>
              <w:rPr>
                <w:rFonts w:hint="default" w:ascii="Times New Roman" w:hAnsi="Times New Roman" w:cs="Times New Roman"/>
                <w:color w:val="auto"/>
                <w:szCs w:val="24"/>
              </w:rPr>
              <mc:AlternateContent>
                <mc:Choice Requires="wps">
                  <w:drawing>
                    <wp:anchor distT="0" distB="0" distL="114300" distR="114300" simplePos="0" relativeHeight="251661312" behindDoc="0" locked="0" layoutInCell="1" allowOverlap="1">
                      <wp:simplePos x="0" y="0"/>
                      <wp:positionH relativeFrom="column">
                        <wp:posOffset>593090</wp:posOffset>
                      </wp:positionH>
                      <wp:positionV relativeFrom="paragraph">
                        <wp:posOffset>3515995</wp:posOffset>
                      </wp:positionV>
                      <wp:extent cx="75565" cy="75565"/>
                      <wp:effectExtent l="7620" t="10795" r="12065" b="8890"/>
                      <wp:wrapNone/>
                      <wp:docPr id="22" name="等腰三角形 22"/>
                      <wp:cNvGraphicFramePr/>
                      <a:graphic xmlns:a="http://schemas.openxmlformats.org/drawingml/2006/main">
                        <a:graphicData uri="http://schemas.microsoft.com/office/word/2010/wordprocessingShape">
                          <wps:wsp>
                            <wps:cNvSpPr/>
                            <wps:spPr>
                              <a:xfrm>
                                <a:off x="0" y="0"/>
                                <a:ext cx="75565" cy="75565"/>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o:spt="5" type="#_x0000_t5" style="position:absolute;left:0pt;margin-left:46.7pt;margin-top:276.85pt;height:5.95pt;width:5.95pt;z-index:251661312;mso-width-relative:page;mso-height-relative:page;" fillcolor="#FF0000" filled="t" stroked="t" coordsize="21600,21600" o:gfxdata="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8zz8w2AAAAAoB&#10;AAAPAAAAAAAAAAEAIAAAACIAAABkcnMvZG93bnJldi54bWxQSwECFAAUAAAACACHTuJAyc/0WBsC&#10;AABWBAAADgAAAAAAAAABACAAAAAnAQAAZHJzL2Uyb0RvYy54bWxQSwUGAAAAAAYABgBZAQAAtAUA&#10;AAAA&#10;" adj="10800">
                      <v:fill on="t" focussize="0,0"/>
                      <v:stroke color="#FF0000" joinstyle="miter"/>
                      <v:imagedata o:title=""/>
                      <o:lock v:ext="edit" aspectratio="f"/>
                    </v:shape>
                  </w:pict>
                </mc:Fallback>
              </mc:AlternateContent>
            </w:r>
            <w:r>
              <w:rPr>
                <w:rFonts w:hint="default"/>
                <w:color w:val="auto"/>
              </w:rPr>
              <w:drawing>
                <wp:inline distT="0" distB="0" distL="114300" distR="114300">
                  <wp:extent cx="4396105" cy="6217920"/>
                  <wp:effectExtent l="0" t="0" r="4445" b="1143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12"/>
                          <a:stretch>
                            <a:fillRect/>
                          </a:stretch>
                        </pic:blipFill>
                        <pic:spPr>
                          <a:xfrm>
                            <a:off x="0" y="0"/>
                            <a:ext cx="4396105" cy="6217920"/>
                          </a:xfrm>
                          <a:prstGeom prst="rect">
                            <a:avLst/>
                          </a:prstGeom>
                          <a:noFill/>
                          <a:ln>
                            <a:noFill/>
                          </a:ln>
                        </pic:spPr>
                      </pic:pic>
                    </a:graphicData>
                  </a:graphic>
                </wp:inline>
              </w:drawing>
            </w:r>
          </w:p>
          <w:p w14:paraId="11C77325">
            <w:pPr>
              <w:pStyle w:val="53"/>
              <w:keepNext w:val="0"/>
              <w:keepLines w:val="0"/>
              <w:suppressLineNumbers w:val="0"/>
              <w:spacing w:before="0" w:beforeAutospacing="0" w:after="0" w:afterAutospacing="0"/>
              <w:ind w:left="0" w:right="0" w:firstLine="422"/>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kern w:val="2"/>
                <w:sz w:val="21"/>
                <w:szCs w:val="21"/>
              </w:rPr>
              <w:t>图1-2 湛江</w:t>
            </w:r>
            <w:r>
              <w:rPr>
                <w:rFonts w:hint="eastAsia" w:ascii="Times New Roman" w:hAnsi="Times New Roman" w:cs="Times New Roman"/>
                <w:b/>
                <w:bCs/>
                <w:color w:val="auto"/>
                <w:kern w:val="2"/>
                <w:sz w:val="21"/>
                <w:szCs w:val="21"/>
                <w:lang w:val="en-US" w:eastAsia="zh-CN"/>
              </w:rPr>
              <w:t>市廉江市</w:t>
            </w:r>
            <w:r>
              <w:rPr>
                <w:rFonts w:hint="default" w:ascii="Times New Roman" w:hAnsi="Times New Roman" w:cs="Times New Roman"/>
                <w:b/>
                <w:bCs/>
                <w:color w:val="auto"/>
                <w:kern w:val="2"/>
                <w:sz w:val="21"/>
                <w:szCs w:val="21"/>
              </w:rPr>
              <w:t>环境管控单元图</w:t>
            </w:r>
          </w:p>
          <w:p w14:paraId="584E9E4B">
            <w:pPr>
              <w:keepNext w:val="0"/>
              <w:keepLines w:val="0"/>
              <w:numPr>
                <w:ilvl w:val="0"/>
                <w:numId w:val="0"/>
              </w:numPr>
              <w:suppressLineNumbers w:val="0"/>
              <w:spacing w:before="0" w:beforeAutospacing="0" w:after="0" w:afterAutospacing="0" w:line="360" w:lineRule="auto"/>
              <w:ind w:left="420" w:leftChars="200" w:right="0" w:rightChars="0"/>
              <w:rPr>
                <w:rFonts w:hint="eastAsia" w:ascii="Times New Roman" w:hAnsi="Times New Roman" w:eastAsia="宋体" w:cs="Times New Roman"/>
                <w:b/>
                <w:bCs/>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5、与区域环境功能区划的相符性分析；</w:t>
            </w:r>
          </w:p>
          <w:p w14:paraId="3B0BC2D3">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本项目位于环境空气二类区，执行国家《环境空气质量标准》及修改单等要求；根据湛江市声环境功能区划分，本项目属于2类声环境功能区；</w:t>
            </w:r>
          </w:p>
          <w:p w14:paraId="39DCA593">
            <w:pPr>
              <w:keepNext w:val="0"/>
              <w:keepLines w:val="0"/>
              <w:numPr>
                <w:ilvl w:val="0"/>
                <w:numId w:val="0"/>
              </w:numPr>
              <w:suppressLineNumbers w:val="0"/>
              <w:spacing w:before="0" w:beforeAutospacing="0" w:after="0" w:afterAutospacing="0" w:line="360" w:lineRule="auto"/>
              <w:ind w:left="420" w:leftChars="200" w:right="0" w:rightChars="0"/>
              <w:rPr>
                <w:rFonts w:hint="eastAsia" w:ascii="Times New Roman" w:hAnsi="Times New Roman" w:eastAsia="宋体" w:cs="Times New Roman"/>
                <w:b/>
                <w:bCs/>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6、与周边饮用水水源保护区的相符性分析；</w:t>
            </w:r>
          </w:p>
          <w:p w14:paraId="58BB6514">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根据《关于印发&lt;广东省地表水环境功能区划&gt;的通知》(粤环(2011)14号)、《湛江市人民政府关于同意湛江市级水功能区划的批复》(湛府函(2016)168号)，本项目属于Ⅲ类水环境质量功能区</w:t>
            </w:r>
          </w:p>
          <w:p w14:paraId="2910F65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textAlignment w:val="auto"/>
              <w:rPr>
                <w:rFonts w:hint="eastAsia" w:ascii="Times New Roman" w:hAnsi="Times New Roman" w:eastAsia="宋体" w:cs="Times New Roman"/>
                <w:b/>
                <w:bCs/>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7、与《一般工业固体废物贮存和填埋污染控制标准》(GB 18599-2020)的相符性分析</w:t>
            </w:r>
          </w:p>
          <w:p w14:paraId="4CBB2A5C">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本项目建筑垃圾仓储满足《一般工业固体废物贮存和填埋污染控制标准》(GB 18599-2020)。</w:t>
            </w:r>
          </w:p>
          <w:p w14:paraId="5E404B68">
            <w:pPr>
              <w:keepNext w:val="0"/>
              <w:keepLines w:val="0"/>
              <w:pageBreakBefore w:val="0"/>
              <w:widowControl w:val="0"/>
              <w:numPr>
                <w:ilvl w:val="0"/>
                <w:numId w:val="0"/>
              </w:numPr>
              <w:suppressLineNumbers w:val="0"/>
              <w:kinsoku/>
              <w:wordWrap/>
              <w:overflowPunct/>
              <w:topLinePunct w:val="0"/>
              <w:bidi w:val="0"/>
              <w:adjustRightInd w:val="0"/>
              <w:snapToGrid w:val="0"/>
              <w:spacing w:before="0" w:beforeAutospacing="0" w:after="0" w:afterAutospacing="0" w:line="360" w:lineRule="auto"/>
              <w:ind w:left="420" w:leftChars="200" w:right="0" w:rightChars="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8、与《广东省生态环境保护“十四五”规划》相符性分析</w:t>
            </w:r>
          </w:p>
          <w:p w14:paraId="074F799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kern w:val="2"/>
                <w:sz w:val="24"/>
                <w:szCs w:val="24"/>
                <w:lang w:val="en-US" w:eastAsia="zh-CN" w:bidi="ar-SA"/>
              </w:rPr>
            </w:pPr>
            <w:r>
              <w:rPr>
                <w:rFonts w:hint="eastAsia" w:ascii="Times New Roman" w:hAnsi="Times New Roman" w:cs="Times New Roman"/>
                <w:color w:val="auto"/>
                <w:kern w:val="2"/>
                <w:sz w:val="24"/>
                <w:szCs w:val="24"/>
                <w:lang w:val="en-US" w:eastAsia="zh-CN" w:bidi="ar-SA"/>
              </w:rPr>
              <w:t>《广东省生态环境保护“十四五”规划》（粤环〔2021〕10号）提出：“大力推进“无废城市”建设。以“无废城市”“无废湾区”建设为抓手，健全固体废物综合管理制度。深入推进深圳国家“无废城市”试点建设，加快推进珠三角各市“无废城市”建设，鼓励粤东西北各市同步开展试点，推动粤港澳大湾区建设成为“无废试验区”。</w:t>
            </w:r>
          </w:p>
          <w:p w14:paraId="3B0F5AE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kern w:val="2"/>
                <w:sz w:val="24"/>
                <w:szCs w:val="24"/>
                <w:lang w:val="en-US" w:eastAsia="zh-CN" w:bidi="ar-SA"/>
              </w:rPr>
            </w:pPr>
            <w:r>
              <w:rPr>
                <w:rFonts w:hint="eastAsia" w:ascii="Times New Roman" w:hAnsi="Times New Roman" w:cs="Times New Roman"/>
                <w:color w:val="auto"/>
                <w:kern w:val="2"/>
                <w:sz w:val="24"/>
                <w:szCs w:val="24"/>
                <w:lang w:val="en-US" w:eastAsia="zh-CN" w:bidi="ar-SA"/>
              </w:rPr>
              <w:t>本项目满足《广东省生态环境保护“十四五”规划》（粤环〔2021〕10号）的相关要求。</w:t>
            </w:r>
          </w:p>
          <w:p w14:paraId="0BB39E4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eastAsia="宋体" w:cs="Times New Roman"/>
                <w:b/>
                <w:bCs/>
                <w:color w:val="auto"/>
                <w:kern w:val="0"/>
                <w:sz w:val="24"/>
                <w:szCs w:val="24"/>
                <w:lang w:val="en-US" w:eastAsia="zh-CN"/>
              </w:rPr>
              <w:t>9</w:t>
            </w:r>
            <w:r>
              <w:rPr>
                <w:rFonts w:hint="default" w:ascii="Times New Roman" w:hAnsi="Times New Roman" w:eastAsia="宋体" w:cs="Times New Roman"/>
                <w:b/>
                <w:bCs/>
                <w:color w:val="auto"/>
                <w:kern w:val="0"/>
                <w:sz w:val="24"/>
                <w:szCs w:val="24"/>
              </w:rPr>
              <w:t>、</w:t>
            </w:r>
            <w:r>
              <w:rPr>
                <w:rFonts w:hint="default" w:ascii="Times New Roman" w:hAnsi="Times New Roman" w:cs="Times New Roman"/>
                <w:b/>
                <w:bCs/>
                <w:color w:val="auto"/>
                <w:sz w:val="24"/>
                <w:szCs w:val="24"/>
              </w:rPr>
              <w:t>与《广东省全域“无废城市”建设工作方案》 （粤办函〔2025〕72号 ）的相符性分析</w:t>
            </w:r>
          </w:p>
          <w:p w14:paraId="669B8C7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《广东省全域“无废城市”建设工作方案》 （粤办函〔2025〕72号 ），</w:t>
            </w:r>
            <w:r>
              <w:rPr>
                <w:rFonts w:hint="eastAsia" w:ascii="Times New Roman" w:hAnsi="Times New Roman" w:cs="Times New Roman"/>
                <w:color w:val="auto"/>
                <w:sz w:val="24"/>
                <w:szCs w:val="24"/>
                <w:lang w:val="en-US" w:eastAsia="zh-CN"/>
              </w:rPr>
              <w:t>本项目</w:t>
            </w:r>
            <w:r>
              <w:rPr>
                <w:rFonts w:hint="default" w:ascii="Times New Roman" w:hAnsi="Times New Roman" w:cs="Times New Roman"/>
                <w:color w:val="auto"/>
                <w:sz w:val="24"/>
                <w:szCs w:val="24"/>
                <w:lang w:val="en-US" w:eastAsia="zh-CN"/>
              </w:rPr>
              <w:t>满足了三、构建废弃物循环利用体系，培育壮大资源循环利用产业中的（四）健全废弃物回收体系；（五）发展资源循环利用产业。四、促进工业绿色转型，高质量推进制造业当家中（七）推进工业固体废物综合利用。六、加强建筑垃圾全过程管理，着力提升资源化利用水平中（十三）提升建筑垃圾资源化利用水平。</w:t>
            </w:r>
          </w:p>
          <w:p w14:paraId="1594B67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highlight w:val="cyan"/>
              </w:rPr>
            </w:pPr>
            <w:r>
              <w:rPr>
                <w:rFonts w:hint="eastAsia" w:ascii="Times New Roman" w:hAnsi="Times New Roman" w:cs="Times New Roman"/>
                <w:color w:val="auto"/>
                <w:sz w:val="24"/>
                <w:szCs w:val="24"/>
                <w:lang w:val="en-US" w:eastAsia="zh-CN"/>
              </w:rPr>
              <w:t>本项目满足</w:t>
            </w:r>
            <w:r>
              <w:rPr>
                <w:rFonts w:hint="default" w:ascii="Times New Roman" w:hAnsi="Times New Roman" w:cs="Times New Roman"/>
                <w:color w:val="auto"/>
                <w:sz w:val="24"/>
                <w:szCs w:val="24"/>
                <w:lang w:val="en-US" w:eastAsia="zh-CN"/>
              </w:rPr>
              <w:t>《广东省全域“无废城市”建设工作方案》 （粤办函〔2025〕72号 ）</w:t>
            </w:r>
            <w:r>
              <w:rPr>
                <w:rFonts w:hint="eastAsia" w:ascii="Times New Roman" w:hAnsi="Times New Roman" w:cs="Times New Roman"/>
                <w:color w:val="auto"/>
                <w:sz w:val="24"/>
                <w:szCs w:val="24"/>
                <w:lang w:val="en-US" w:eastAsia="zh-CN"/>
              </w:rPr>
              <w:t>的相关要求</w:t>
            </w:r>
            <w:r>
              <w:rPr>
                <w:rFonts w:hint="default" w:ascii="Times New Roman" w:hAnsi="Times New Roman" w:cs="Times New Roman"/>
                <w:color w:val="auto"/>
                <w:sz w:val="24"/>
                <w:szCs w:val="24"/>
              </w:rPr>
              <w:t>。</w:t>
            </w:r>
          </w:p>
          <w:p w14:paraId="44BFC44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sz w:val="24"/>
                <w:szCs w:val="24"/>
              </w:rPr>
            </w:pPr>
            <w:r>
              <w:rPr>
                <w:rFonts w:hint="eastAsia" w:ascii="Times New Roman" w:hAnsi="Times New Roman" w:eastAsia="宋体" w:cs="Times New Roman"/>
                <w:b/>
                <w:bCs/>
                <w:color w:val="auto"/>
                <w:kern w:val="0"/>
                <w:sz w:val="24"/>
                <w:szCs w:val="24"/>
                <w:lang w:val="en-US" w:eastAsia="zh-CN"/>
              </w:rPr>
              <w:t>10</w:t>
            </w:r>
            <w:r>
              <w:rPr>
                <w:rFonts w:hint="default" w:ascii="Times New Roman" w:hAnsi="Times New Roman" w:eastAsia="宋体" w:cs="Times New Roman"/>
                <w:b/>
                <w:bCs/>
                <w:color w:val="auto"/>
                <w:kern w:val="0"/>
                <w:sz w:val="24"/>
                <w:szCs w:val="24"/>
              </w:rPr>
              <w:t>、</w:t>
            </w:r>
            <w:r>
              <w:rPr>
                <w:rFonts w:hint="default" w:ascii="Times New Roman" w:hAnsi="Times New Roman" w:cs="Times New Roman"/>
                <w:b/>
                <w:bCs/>
                <w:color w:val="auto"/>
                <w:sz w:val="24"/>
                <w:szCs w:val="24"/>
              </w:rPr>
              <w:t>与《湛江市生态环境保护“十四五”规划》相符性分析</w:t>
            </w:r>
          </w:p>
          <w:p w14:paraId="52E6D25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广东省生态环境保护“十四五”规划》（粤环〔2021〕10号）提出：“大力推进“无废城市”建设。以“无废城市”“无废湾区”建设为抓手，健全固体废物综合管理制度。深入推进深圳国家“无废城市”试点建设，加快推进珠三角各市“无废城市”建设，鼓励粤东西北各市同步开展试点，推动粤港澳大湾区建设成为“无废试验区”。</w:t>
            </w:r>
          </w:p>
          <w:p w14:paraId="5E6BCF0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本项目满足《广东省生态环境保护“十四五”规划》（粤环〔2021〕10号）的相关要求</w:t>
            </w:r>
            <w:r>
              <w:rPr>
                <w:rFonts w:hint="default" w:ascii="Times New Roman" w:hAnsi="Times New Roman" w:cs="Times New Roman"/>
                <w:color w:val="auto"/>
                <w:sz w:val="24"/>
                <w:szCs w:val="24"/>
              </w:rPr>
              <w:t>。</w:t>
            </w:r>
          </w:p>
          <w:p w14:paraId="6A021C22">
            <w:pPr>
              <w:pStyle w:val="42"/>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s="Times New Roman"/>
                <w:b/>
                <w:bCs/>
                <w:color w:val="auto"/>
                <w:kern w:val="2"/>
                <w:sz w:val="24"/>
                <w:szCs w:val="24"/>
                <w:lang w:val="en-US" w:eastAsia="zh-CN" w:bidi="ar-SA"/>
              </w:rPr>
              <w:t>11</w:t>
            </w:r>
            <w:r>
              <w:rPr>
                <w:rFonts w:hint="default" w:ascii="Times New Roman" w:hAnsi="Times New Roman" w:cs="Times New Roman" w:eastAsiaTheme="minorEastAsia"/>
                <w:b/>
                <w:bCs/>
                <w:color w:val="auto"/>
                <w:kern w:val="2"/>
                <w:sz w:val="24"/>
                <w:szCs w:val="24"/>
                <w:lang w:val="en-US" w:eastAsia="zh-CN" w:bidi="ar-SA"/>
              </w:rPr>
              <w:t>、项目与“湛江市人民政府关于完成“十四五” 能耗双控目标任务的指导意见”的相符性分析</w:t>
            </w:r>
          </w:p>
          <w:p w14:paraId="755E404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湛江市人民政府关于完成“十四五”能耗双控目标任务的指导意见》湛府【2021】53号，“新建项目应符合国家产业政策，在满足本地区能耗双控要求的前提下，工艺技术装备须达到国内先进水平、能源利用效率须达到国家先进标准。新引进、改扩建钢铁、水泥、造纸、燃煤发电、炼化、玻璃、塑料、纺织、石墨等高耗能项目，严格执行国家、广东省高耗能行业建设项目准入条件的相关规定，在用地、能耗、环评、用水、用电等方面，实行最严格的审批，或实行惩罚性的要素供给。严格控制高耗能、高污染项目产能规模扩大，其中包括合成氨（尿素）、乙醇、水泥（熟料）、玻璃、石墨、钢铁、造纸、炼化、数据中心、燃煤发电等“两高”项目（设备），逐步推行“煤改气”，或使用光伏、风电等新能源。坚决遏制“两高”项目盲目发展，确有必要建设的，须在区内实施产能和能源减量置换。除省规划布局数据中心外，原则不再审批新增数据中心项目。引导产能过剩行业中的限制类产能（装备）有序退出，实施产能置换升级改造。”</w:t>
            </w:r>
          </w:p>
          <w:p w14:paraId="37D1447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szCs w:val="24"/>
              </w:rPr>
            </w:pPr>
            <w:r>
              <w:rPr>
                <w:rFonts w:hint="default" w:ascii="Times New Roman" w:hAnsi="Times New Roman" w:cs="Times New Roman"/>
                <w:color w:val="auto"/>
                <w:sz w:val="24"/>
                <w:szCs w:val="24"/>
              </w:rPr>
              <w:t>本项目不属于“钢铁、水泥、造纸、燃煤发电、炼化、玻璃、塑料、纺织、石墨等高耗能项目”，也不属于“成氨（尿素）、乙醇、水泥（熟料）、玻璃、石墨、钢铁、造纸、炼化、数据中心、燃煤发电等‘两高’项目（设备）”，根据《关于开展全市固定资产投资项目节能审查情况核查工作的通知》可知，“ 年综合能源消费量1000吨标准煤以上（含1000吨标准煤；改扩建项目按照建成投产后年综合能源消费增量计算，电力折算系数按当量值），或年电力消费量500万千瓦时以上（含500万千瓦时）的固定资产投资项目，应单独进行节能审查。应当通过节能审查而未通过节能审查的项目，项目不得办理环评。</w:t>
            </w:r>
            <w:r>
              <w:rPr>
                <w:rFonts w:hint="eastAsia" w:ascii="Times New Roman" w:hAnsi="Times New Roman" w:cs="Times New Roman"/>
                <w:color w:val="auto"/>
                <w:sz w:val="24"/>
                <w:szCs w:val="24"/>
                <w:lang w:val="en-US" w:eastAsia="zh-CN"/>
              </w:rPr>
              <w:t>本项目耗电为工作人员日常生产生活使用，不存在高能耗机械，总体耗电量</w:t>
            </w:r>
            <w:r>
              <w:rPr>
                <w:rFonts w:hint="eastAsia" w:ascii="Times New Roman" w:hAnsi="Times New Roman" w:cs="Times New Roman"/>
                <w:color w:val="auto"/>
                <w:sz w:val="24"/>
                <w:szCs w:val="24"/>
              </w:rPr>
              <w:t>不满500万千瓦时</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 xml:space="preserve">符合国家发展改革委印发《固定资产投资项目节能审查办法》（国家发展和改革委员会令2023年第2号，年综合能源消费量不满1000吨标准煤且年电力消费量不满500万千瓦时的固定资产投资项目，可不单独编制节能报告。 </w:t>
            </w:r>
          </w:p>
          <w:p w14:paraId="5457A82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Cs w:val="24"/>
              </w:rPr>
            </w:pPr>
            <w:r>
              <w:rPr>
                <w:rFonts w:hint="default" w:ascii="Times New Roman" w:hAnsi="Times New Roman" w:cs="Times New Roman"/>
                <w:color w:val="auto"/>
                <w:sz w:val="24"/>
                <w:szCs w:val="24"/>
              </w:rPr>
              <w:t>因此，项目建设符合“湛江市人民政府关于完成“十四五” 能耗双控目标任务的指导意见”要求。</w:t>
            </w:r>
          </w:p>
        </w:tc>
      </w:tr>
    </w:tbl>
    <w:p w14:paraId="5E0CA86B">
      <w:pPr>
        <w:spacing w:line="360" w:lineRule="auto"/>
        <w:outlineLvl w:val="0"/>
        <w:rPr>
          <w:rFonts w:hint="default" w:ascii="Times New Roman" w:hAnsi="Times New Roman" w:eastAsia="宋体" w:cs="Times New Roman"/>
          <w:color w:val="auto"/>
          <w:sz w:val="30"/>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fmt="numberInDash" w:start="1"/>
          <w:cols w:space="720" w:num="1"/>
          <w:docGrid w:linePitch="312" w:charSpace="0"/>
        </w:sectPr>
      </w:pPr>
    </w:p>
    <w:p w14:paraId="24000A3D">
      <w:pPr>
        <w:pStyle w:val="31"/>
        <w:keepNext w:val="0"/>
        <w:keepLines w:val="0"/>
        <w:pageBreakBefore w:val="0"/>
        <w:widowControl/>
        <w:kinsoku/>
        <w:wordWrap/>
        <w:overflowPunct/>
        <w:topLinePunct w:val="0"/>
        <w:autoSpaceDE/>
        <w:autoSpaceDN/>
        <w:bidi w:val="0"/>
        <w:adjustRightInd/>
        <w:snapToGrid/>
        <w:jc w:val="center"/>
        <w:textAlignment w:val="auto"/>
        <w:outlineLvl w:val="0"/>
        <w:rPr>
          <w:rFonts w:hint="default" w:ascii="Times New Roman" w:hAnsi="Times New Roman" w:eastAsia="宋体" w:cs="Times New Roman"/>
          <w:snapToGrid w:val="0"/>
          <w:color w:val="auto"/>
          <w:sz w:val="30"/>
          <w:szCs w:val="30"/>
        </w:rPr>
      </w:pPr>
      <w:bookmarkStart w:id="13" w:name="_Toc28056"/>
      <w:bookmarkStart w:id="14" w:name="_Toc14396"/>
      <w:r>
        <w:rPr>
          <w:rFonts w:hint="default" w:ascii="Times New Roman" w:hAnsi="Times New Roman" w:eastAsia="宋体" w:cs="Times New Roman"/>
          <w:snapToGrid w:val="0"/>
          <w:color w:val="auto"/>
          <w:sz w:val="30"/>
          <w:szCs w:val="30"/>
        </w:rPr>
        <w:t>二、建设项目工程分析</w:t>
      </w:r>
      <w:bookmarkEnd w:id="13"/>
      <w:bookmarkEnd w:id="14"/>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61"/>
      </w:tblGrid>
      <w:tr w14:paraId="48FCAA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8" w:hRule="atLeast"/>
          <w:jc w:val="center"/>
        </w:trPr>
        <w:tc>
          <w:tcPr>
            <w:tcW w:w="823" w:type="dxa"/>
            <w:vAlign w:val="center"/>
          </w:tcPr>
          <w:p w14:paraId="36DB1B58">
            <w:pPr>
              <w:pStyle w:val="3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4"/>
                <w:szCs w:val="24"/>
              </w:rPr>
              <w:t>建设内容</w:t>
            </w:r>
          </w:p>
        </w:tc>
        <w:tc>
          <w:tcPr>
            <w:tcW w:w="8161" w:type="dxa"/>
          </w:tcPr>
          <w:p w14:paraId="7B6084E6">
            <w:pPr>
              <w:keepNext w:val="0"/>
              <w:keepLines w:val="0"/>
              <w:suppressLineNumbers w:val="0"/>
              <w:spacing w:before="0" w:beforeAutospacing="0" w:after="0" w:afterAutospacing="0" w:line="360" w:lineRule="auto"/>
              <w:ind w:left="0" w:right="0" w:firstLine="472" w:firstLineChars="196"/>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1、项目建设内容及规模</w:t>
            </w:r>
          </w:p>
          <w:p w14:paraId="66FE54D2">
            <w:pPr>
              <w:pStyle w:val="21"/>
              <w:keepNext w:val="0"/>
              <w:keepLines w:val="0"/>
              <w:suppressLineNumbers w:val="0"/>
              <w:spacing w:before="0" w:beforeAutospacing="0" w:after="0" w:afterAutospacing="0" w:line="360" w:lineRule="auto"/>
              <w:ind w:left="0" w:right="0" w:firstLine="480" w:firstLineChars="200"/>
              <w:rPr>
                <w:rFonts w:hint="default" w:asciiTheme="minorHAnsi" w:hAnsiTheme="minorHAnsi" w:eastAsiaTheme="minorEastAsia" w:cstheme="minorBidi"/>
                <w:color w:val="auto"/>
                <w:kern w:val="2"/>
                <w:sz w:val="24"/>
                <w:szCs w:val="24"/>
                <w:lang w:val="en-US" w:eastAsia="zh-CN" w:bidi="ar-SA"/>
              </w:rPr>
            </w:pPr>
            <w:r>
              <w:rPr>
                <w:rFonts w:hint="default" w:asciiTheme="minorHAnsi" w:hAnsiTheme="minorHAnsi" w:eastAsiaTheme="minorEastAsia" w:cstheme="minorBidi"/>
                <w:color w:val="auto"/>
                <w:kern w:val="2"/>
                <w:sz w:val="24"/>
                <w:szCs w:val="24"/>
                <w:lang w:val="en-US" w:eastAsia="zh-CN" w:bidi="ar-SA"/>
              </w:rPr>
              <w:t>本项目</w:t>
            </w:r>
            <w:r>
              <w:rPr>
                <w:rFonts w:hint="eastAsia" w:asciiTheme="minorHAnsi" w:hAnsiTheme="minorHAnsi" w:eastAsiaTheme="minorEastAsia" w:cstheme="minorBidi"/>
                <w:color w:val="auto"/>
                <w:kern w:val="2"/>
                <w:sz w:val="24"/>
                <w:szCs w:val="24"/>
                <w:lang w:val="en-US" w:eastAsia="zh-CN" w:bidi="ar-SA"/>
              </w:rPr>
              <w:t>位于广东省廉江市高桥镇大冲村村委横冲村旁高岭土厂</w:t>
            </w:r>
            <w:r>
              <w:rPr>
                <w:rFonts w:hint="default" w:ascii="Times New Roman" w:hAnsi="Times New Roman" w:cs="Times New Roman" w:eastAsiaTheme="minorEastAsia"/>
                <w:color w:val="auto"/>
                <w:kern w:val="2"/>
                <w:sz w:val="24"/>
                <w:szCs w:val="24"/>
                <w:lang w:val="en-US" w:eastAsia="zh-CN" w:bidi="ar-SA"/>
              </w:rPr>
              <w:t>，项目用地为</w:t>
            </w:r>
            <w:r>
              <w:rPr>
                <w:rFonts w:hint="eastAsia" w:ascii="Times New Roman" w:hAnsi="Times New Roman" w:cs="Times New Roman"/>
                <w:color w:val="auto"/>
                <w:kern w:val="2"/>
                <w:sz w:val="24"/>
                <w:szCs w:val="24"/>
                <w:lang w:val="en-US" w:eastAsia="zh-CN" w:bidi="ar-SA"/>
              </w:rPr>
              <w:t>建设用地</w:t>
            </w:r>
            <w:r>
              <w:rPr>
                <w:rFonts w:hint="default" w:ascii="Times New Roman" w:hAnsi="Times New Roman" w:cs="Times New Roman" w:eastAsiaTheme="minorEastAsia"/>
                <w:color w:val="auto"/>
                <w:kern w:val="2"/>
                <w:sz w:val="24"/>
                <w:szCs w:val="24"/>
                <w:lang w:val="en-US" w:eastAsia="zh-CN" w:bidi="ar-SA"/>
              </w:rPr>
              <w:t>，</w:t>
            </w:r>
            <w:r>
              <w:rPr>
                <w:rFonts w:hint="eastAsia" w:ascii="Times New Roman" w:hAnsi="Times New Roman" w:cs="Times New Roman"/>
                <w:color w:val="auto"/>
                <w:kern w:val="2"/>
                <w:sz w:val="24"/>
                <w:szCs w:val="24"/>
                <w:lang w:val="en-US" w:eastAsia="zh-CN" w:bidi="ar-SA"/>
              </w:rPr>
              <w:t>总用地面积为7855.97</w:t>
            </w:r>
            <w:r>
              <w:rPr>
                <w:rFonts w:hint="default" w:ascii="Times New Roman" w:hAnsi="Times New Roman" w:eastAsia="宋体" w:cs="Times New Roman"/>
                <w:b w:val="0"/>
                <w:bCs/>
                <w:color w:val="auto"/>
                <w:sz w:val="24"/>
                <w:szCs w:val="24"/>
                <w:lang w:val="en-US" w:eastAsia="zh-CN"/>
              </w:rPr>
              <w:t>m</w:t>
            </w:r>
            <w:r>
              <w:rPr>
                <w:rFonts w:hint="default" w:ascii="Times New Roman" w:hAnsi="Times New Roman" w:eastAsia="宋体" w:cs="Times New Roman"/>
                <w:b w:val="0"/>
                <w:bCs/>
                <w:color w:val="auto"/>
                <w:sz w:val="24"/>
                <w:szCs w:val="24"/>
                <w:vertAlign w:val="superscript"/>
                <w:lang w:val="en-US" w:eastAsia="zh-CN"/>
              </w:rPr>
              <w:t>2</w:t>
            </w:r>
            <w:r>
              <w:rPr>
                <w:rFonts w:hint="eastAsia" w:ascii="Times New Roman" w:hAnsi="Times New Roman" w:cs="Times New Roman"/>
                <w:color w:val="auto"/>
                <w:kern w:val="2"/>
                <w:sz w:val="24"/>
                <w:szCs w:val="24"/>
                <w:lang w:val="en-US" w:eastAsia="zh-CN" w:bidi="ar-SA"/>
              </w:rPr>
              <w:t>，</w:t>
            </w:r>
            <w:r>
              <w:rPr>
                <w:rFonts w:hint="default" w:ascii="Times New Roman" w:hAnsi="Times New Roman" w:cs="Times New Roman" w:eastAsiaTheme="minorEastAsia"/>
                <w:color w:val="auto"/>
                <w:kern w:val="2"/>
                <w:sz w:val="24"/>
                <w:szCs w:val="24"/>
                <w:lang w:val="en-US" w:eastAsia="zh-CN" w:bidi="ar-SA"/>
              </w:rPr>
              <w:t>建筑面积为</w:t>
            </w:r>
            <w:r>
              <w:rPr>
                <w:rFonts w:hint="eastAsia" w:ascii="Times New Roman" w:hAnsi="Times New Roman" w:eastAsia="宋体" w:cs="Times New Roman"/>
                <w:b w:val="0"/>
                <w:bCs/>
                <w:color w:val="auto"/>
                <w:sz w:val="24"/>
                <w:szCs w:val="24"/>
                <w:lang w:val="en-US" w:eastAsia="zh-CN"/>
              </w:rPr>
              <w:t>1200</w:t>
            </w:r>
            <w:r>
              <w:rPr>
                <w:rFonts w:hint="default" w:ascii="Times New Roman" w:hAnsi="Times New Roman" w:eastAsia="宋体" w:cs="Times New Roman"/>
                <w:b w:val="0"/>
                <w:bCs/>
                <w:color w:val="auto"/>
                <w:sz w:val="24"/>
                <w:szCs w:val="24"/>
                <w:lang w:val="en-US" w:eastAsia="zh-CN"/>
              </w:rPr>
              <w:t>m</w:t>
            </w:r>
            <w:r>
              <w:rPr>
                <w:rFonts w:hint="default" w:ascii="Times New Roman" w:hAnsi="Times New Roman" w:eastAsia="宋体" w:cs="Times New Roman"/>
                <w:b w:val="0"/>
                <w:bCs/>
                <w:color w:val="auto"/>
                <w:sz w:val="24"/>
                <w:szCs w:val="24"/>
                <w:vertAlign w:val="superscript"/>
                <w:lang w:val="en-US" w:eastAsia="zh-CN"/>
              </w:rPr>
              <w:t>2</w:t>
            </w:r>
            <w:r>
              <w:rPr>
                <w:rFonts w:hint="default" w:ascii="Times New Roman" w:hAnsi="Times New Roman" w:cs="Times New Roman" w:eastAsiaTheme="minorEastAsia"/>
                <w:color w:val="auto"/>
                <w:kern w:val="2"/>
                <w:sz w:val="24"/>
                <w:szCs w:val="24"/>
                <w:lang w:val="en-US" w:eastAsia="zh-CN" w:bidi="ar-SA"/>
              </w:rPr>
              <w:t>，</w:t>
            </w:r>
            <w:r>
              <w:rPr>
                <w:rFonts w:hint="eastAsia" w:ascii="Times New Roman" w:hAnsi="Times New Roman" w:cs="Times New Roman"/>
                <w:color w:val="auto"/>
                <w:kern w:val="2"/>
                <w:sz w:val="24"/>
                <w:szCs w:val="24"/>
                <w:lang w:val="en-US" w:eastAsia="zh-CN" w:bidi="ar-SA"/>
              </w:rPr>
              <w:t>无绿化面积</w:t>
            </w:r>
            <w:r>
              <w:rPr>
                <w:rFonts w:hint="default" w:ascii="Times New Roman" w:hAnsi="Times New Roman" w:cs="Times New Roman" w:eastAsiaTheme="minorEastAsia"/>
                <w:color w:val="auto"/>
                <w:kern w:val="2"/>
                <w:sz w:val="24"/>
                <w:szCs w:val="24"/>
                <w:lang w:val="en-US" w:eastAsia="zh-CN" w:bidi="ar-SA"/>
              </w:rPr>
              <w:t>。</w:t>
            </w:r>
            <w:r>
              <w:rPr>
                <w:rFonts w:hint="default" w:ascii="Times New Roman" w:hAnsi="Times New Roman" w:cs="Times New Roman"/>
                <w:color w:val="auto"/>
                <w:kern w:val="2"/>
                <w:sz w:val="24"/>
                <w:szCs w:val="24"/>
                <w:lang w:val="en-US" w:eastAsia="zh-CN" w:bidi="ar-SA"/>
              </w:rPr>
              <w:t>本项目为租赁他人现有厂房进行生产作业</w:t>
            </w:r>
            <w:r>
              <w:rPr>
                <w:rFonts w:hint="eastAsia" w:ascii="Times New Roman" w:hAnsi="Times New Roman" w:cs="Times New Roman"/>
                <w:color w:val="auto"/>
                <w:kern w:val="2"/>
                <w:sz w:val="24"/>
                <w:szCs w:val="24"/>
                <w:lang w:val="en-US" w:eastAsia="zh-CN" w:bidi="ar-SA"/>
              </w:rPr>
              <w:t>，租赁总面积20836.1</w:t>
            </w:r>
            <w:r>
              <w:rPr>
                <w:rFonts w:hint="default" w:ascii="Times New Roman" w:hAnsi="Times New Roman" w:eastAsia="宋体" w:cs="Times New Roman"/>
                <w:b w:val="0"/>
                <w:bCs/>
                <w:color w:val="auto"/>
                <w:sz w:val="24"/>
                <w:szCs w:val="24"/>
                <w:lang w:val="en-US" w:eastAsia="zh-CN"/>
              </w:rPr>
              <w:t>m</w:t>
            </w:r>
            <w:r>
              <w:rPr>
                <w:rFonts w:hint="default" w:ascii="Times New Roman" w:hAnsi="Times New Roman" w:eastAsia="宋体" w:cs="Times New Roman"/>
                <w:b w:val="0"/>
                <w:bCs/>
                <w:color w:val="auto"/>
                <w:sz w:val="24"/>
                <w:szCs w:val="24"/>
                <w:vertAlign w:val="superscript"/>
                <w:lang w:val="en-US" w:eastAsia="zh-CN"/>
              </w:rPr>
              <w:t>2</w:t>
            </w:r>
            <w:r>
              <w:rPr>
                <w:rFonts w:hint="eastAsia" w:ascii="Times New Roman" w:hAnsi="Times New Roman" w:cs="Times New Roman"/>
                <w:color w:val="auto"/>
                <w:kern w:val="2"/>
                <w:sz w:val="24"/>
                <w:szCs w:val="24"/>
                <w:lang w:val="en-US" w:eastAsia="zh-CN" w:bidi="ar-SA"/>
              </w:rPr>
              <w:t>，其中,本项目红线面积为7855.97</w:t>
            </w:r>
            <w:r>
              <w:rPr>
                <w:rFonts w:hint="default" w:ascii="Times New Roman" w:hAnsi="Times New Roman" w:eastAsia="宋体" w:cs="Times New Roman"/>
                <w:b w:val="0"/>
                <w:bCs/>
                <w:color w:val="auto"/>
                <w:sz w:val="24"/>
                <w:szCs w:val="24"/>
                <w:lang w:val="en-US" w:eastAsia="zh-CN"/>
              </w:rPr>
              <w:t>m</w:t>
            </w:r>
            <w:r>
              <w:rPr>
                <w:rFonts w:hint="default" w:ascii="Times New Roman" w:hAnsi="Times New Roman" w:eastAsia="宋体" w:cs="Times New Roman"/>
                <w:b w:val="0"/>
                <w:bCs/>
                <w:color w:val="auto"/>
                <w:sz w:val="24"/>
                <w:szCs w:val="24"/>
                <w:vertAlign w:val="superscript"/>
                <w:lang w:val="en-US" w:eastAsia="zh-CN"/>
              </w:rPr>
              <w:t>2</w:t>
            </w:r>
            <w:r>
              <w:rPr>
                <w:rFonts w:hint="eastAsia" w:ascii="Times New Roman" w:hAnsi="Times New Roman" w:cs="Times New Roman"/>
                <w:color w:val="auto"/>
                <w:kern w:val="2"/>
                <w:sz w:val="24"/>
                <w:szCs w:val="24"/>
                <w:lang w:val="en-US" w:eastAsia="zh-CN" w:bidi="ar-SA"/>
              </w:rPr>
              <w:t>，用于建筑垃圾进场后堆放，由下游资源化利用企业接收转运。</w:t>
            </w:r>
            <w:r>
              <w:rPr>
                <w:rFonts w:hint="default" w:ascii="Times New Roman" w:hAnsi="Times New Roman" w:cs="Times New Roman"/>
                <w:color w:val="auto"/>
                <w:kern w:val="2"/>
                <w:sz w:val="24"/>
                <w:szCs w:val="24"/>
                <w:lang w:val="en-US" w:eastAsia="zh-CN" w:bidi="ar-SA"/>
              </w:rPr>
              <w:t>（租赁合同见附件4）</w:t>
            </w:r>
            <w:r>
              <w:rPr>
                <w:rFonts w:hint="eastAsia" w:cstheme="minorBidi"/>
                <w:color w:val="auto"/>
                <w:kern w:val="2"/>
                <w:sz w:val="24"/>
                <w:szCs w:val="24"/>
                <w:lang w:val="en-US" w:eastAsia="zh-CN" w:bidi="ar-SA"/>
              </w:rPr>
              <w:t>。</w:t>
            </w:r>
          </w:p>
          <w:p w14:paraId="4F0B71FB">
            <w:pPr>
              <w:keepNext w:val="0"/>
              <w:keepLines w:val="0"/>
              <w:suppressLineNumbers w:val="0"/>
              <w:spacing w:before="0" w:beforeAutospacing="0" w:after="0" w:afterAutospacing="0" w:line="360" w:lineRule="auto"/>
              <w:ind w:left="0" w:right="0" w:firstLine="480" w:firstLineChars="200"/>
              <w:jc w:val="both"/>
              <w:rPr>
                <w:rFonts w:hint="default"/>
                <w:color w:val="auto"/>
                <w:sz w:val="24"/>
                <w:szCs w:val="24"/>
              </w:rPr>
            </w:pPr>
            <w:r>
              <w:rPr>
                <w:rFonts w:hint="default"/>
                <w:color w:val="auto"/>
                <w:sz w:val="24"/>
                <w:szCs w:val="24"/>
              </w:rPr>
              <w:t>本项目主要</w:t>
            </w:r>
            <w:r>
              <w:rPr>
                <w:rFonts w:hint="eastAsia"/>
                <w:color w:val="auto"/>
                <w:sz w:val="24"/>
                <w:szCs w:val="24"/>
                <w:lang w:val="en-US" w:eastAsia="zh-CN"/>
              </w:rPr>
              <w:t>生产生活</w:t>
            </w:r>
            <w:r>
              <w:rPr>
                <w:rFonts w:hint="default"/>
                <w:color w:val="auto"/>
                <w:sz w:val="24"/>
                <w:szCs w:val="24"/>
              </w:rPr>
              <w:t>设施</w:t>
            </w:r>
            <w:r>
              <w:rPr>
                <w:rFonts w:hint="eastAsia"/>
                <w:color w:val="auto"/>
                <w:sz w:val="24"/>
                <w:szCs w:val="24"/>
                <w:lang w:val="en-US" w:eastAsia="zh-CN"/>
              </w:rPr>
              <w:t>包括建筑垃圾堆存转运一条生产线</w:t>
            </w:r>
            <w:r>
              <w:rPr>
                <w:rFonts w:hint="eastAsia"/>
                <w:color w:val="auto"/>
                <w:sz w:val="24"/>
                <w:szCs w:val="24"/>
                <w:lang w:eastAsia="zh-CN"/>
              </w:rPr>
              <w:t>、</w:t>
            </w:r>
            <w:r>
              <w:rPr>
                <w:rFonts w:hint="eastAsia"/>
                <w:color w:val="auto"/>
                <w:sz w:val="24"/>
                <w:szCs w:val="24"/>
                <w:lang w:val="en-US" w:eastAsia="zh-CN"/>
              </w:rPr>
              <w:t>厂区综合办公楼（依托原有）、员工生活区（依托原有）、三级化粪池等</w:t>
            </w:r>
            <w:r>
              <w:rPr>
                <w:rFonts w:hint="default"/>
                <w:color w:val="auto"/>
                <w:sz w:val="24"/>
                <w:szCs w:val="24"/>
              </w:rPr>
              <w:t>，项目总投资为</w:t>
            </w:r>
            <w:r>
              <w:rPr>
                <w:rFonts w:hint="eastAsia" w:ascii="Times New Roman" w:hAnsi="Times New Roman"/>
                <w:color w:val="auto"/>
                <w:sz w:val="24"/>
                <w:szCs w:val="24"/>
                <w:lang w:val="en-US" w:eastAsia="zh-CN"/>
              </w:rPr>
              <w:t>800</w:t>
            </w:r>
            <w:r>
              <w:rPr>
                <w:rFonts w:hint="default"/>
                <w:color w:val="auto"/>
                <w:sz w:val="24"/>
                <w:szCs w:val="24"/>
              </w:rPr>
              <w:t>万元</w:t>
            </w:r>
            <w:r>
              <w:rPr>
                <w:rFonts w:hint="eastAsia"/>
                <w:color w:val="auto"/>
                <w:sz w:val="24"/>
                <w:szCs w:val="24"/>
                <w:lang w:eastAsia="zh-CN"/>
              </w:rPr>
              <w:t>。</w:t>
            </w:r>
            <w:r>
              <w:rPr>
                <w:rFonts w:hint="default"/>
                <w:color w:val="auto"/>
                <w:sz w:val="24"/>
                <w:szCs w:val="24"/>
              </w:rPr>
              <w:t>项目具体工程组成见表</w:t>
            </w:r>
            <w:r>
              <w:rPr>
                <w:rFonts w:hint="default" w:ascii="Times New Roman" w:hAnsi="Times New Roman"/>
                <w:color w:val="auto"/>
                <w:sz w:val="24"/>
                <w:szCs w:val="24"/>
              </w:rPr>
              <w:t>2</w:t>
            </w:r>
            <w:r>
              <w:rPr>
                <w:rFonts w:hint="default"/>
                <w:color w:val="auto"/>
                <w:sz w:val="24"/>
                <w:szCs w:val="24"/>
              </w:rPr>
              <w:t>-</w:t>
            </w:r>
            <w:r>
              <w:rPr>
                <w:rFonts w:hint="default" w:ascii="Times New Roman" w:hAnsi="Times New Roman"/>
                <w:color w:val="auto"/>
                <w:sz w:val="24"/>
                <w:szCs w:val="24"/>
              </w:rPr>
              <w:t>1</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主要生产设备见表2-2</w:t>
            </w:r>
            <w:r>
              <w:rPr>
                <w:rFonts w:hint="default"/>
                <w:color w:val="auto"/>
                <w:sz w:val="24"/>
                <w:szCs w:val="24"/>
              </w:rPr>
              <w:t>。</w:t>
            </w:r>
          </w:p>
          <w:p w14:paraId="1CB9DBC8">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表2-1 本项目主要工程情况一览表</w:t>
            </w:r>
          </w:p>
          <w:tbl>
            <w:tblPr>
              <w:tblStyle w:val="35"/>
              <w:tblW w:w="789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81"/>
              <w:gridCol w:w="1803"/>
              <w:gridCol w:w="900"/>
              <w:gridCol w:w="4110"/>
            </w:tblGrid>
            <w:tr w14:paraId="078A25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5" w:hRule="atLeast"/>
                <w:jc w:val="center"/>
              </w:trPr>
              <w:tc>
                <w:tcPr>
                  <w:tcW w:w="1081" w:type="dxa"/>
                  <w:noWrap w:val="0"/>
                  <w:vAlign w:val="center"/>
                </w:tcPr>
                <w:p w14:paraId="519A28BD">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r>
                    <w:rPr>
                      <w:rFonts w:hint="default" w:ascii="Times New Roman" w:hAnsi="宋体" w:eastAsia="宋体" w:cs="Times New Roman"/>
                      <w:b w:val="0"/>
                      <w:bCs/>
                      <w:color w:val="auto"/>
                      <w:sz w:val="21"/>
                      <w:szCs w:val="21"/>
                    </w:rPr>
                    <w:t>工程类别</w:t>
                  </w:r>
                </w:p>
              </w:tc>
              <w:tc>
                <w:tcPr>
                  <w:tcW w:w="1803" w:type="dxa"/>
                  <w:noWrap w:val="0"/>
                  <w:vAlign w:val="center"/>
                </w:tcPr>
                <w:p w14:paraId="7ECC3C29">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r>
                    <w:rPr>
                      <w:rFonts w:hint="eastAsia" w:ascii="Times New Roman" w:hAnsi="宋体" w:eastAsia="宋体" w:cs="Times New Roman"/>
                      <w:b w:val="0"/>
                      <w:bCs/>
                      <w:color w:val="auto"/>
                      <w:sz w:val="21"/>
                      <w:szCs w:val="21"/>
                    </w:rPr>
                    <w:t>内容</w:t>
                  </w:r>
                </w:p>
              </w:tc>
              <w:tc>
                <w:tcPr>
                  <w:tcW w:w="5010" w:type="dxa"/>
                  <w:gridSpan w:val="2"/>
                  <w:noWrap w:val="0"/>
                  <w:vAlign w:val="center"/>
                </w:tcPr>
                <w:p w14:paraId="39026FEF">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r>
                    <w:rPr>
                      <w:rFonts w:hint="default" w:ascii="Times New Roman" w:hAnsi="宋体" w:eastAsia="宋体" w:cs="Times New Roman"/>
                      <w:b w:val="0"/>
                      <w:bCs/>
                      <w:color w:val="auto"/>
                      <w:sz w:val="21"/>
                      <w:szCs w:val="21"/>
                    </w:rPr>
                    <w:t>建设</w:t>
                  </w:r>
                  <w:r>
                    <w:rPr>
                      <w:rFonts w:hint="eastAsia" w:ascii="Times New Roman" w:hAnsi="宋体" w:eastAsia="宋体" w:cs="Times New Roman"/>
                      <w:b w:val="0"/>
                      <w:bCs/>
                      <w:color w:val="auto"/>
                      <w:sz w:val="21"/>
                      <w:szCs w:val="21"/>
                    </w:rPr>
                    <w:t>性质及</w:t>
                  </w:r>
                  <w:r>
                    <w:rPr>
                      <w:rFonts w:hint="default" w:ascii="Times New Roman" w:hAnsi="宋体" w:eastAsia="宋体" w:cs="Times New Roman"/>
                      <w:b w:val="0"/>
                      <w:bCs/>
                      <w:color w:val="auto"/>
                      <w:sz w:val="21"/>
                      <w:szCs w:val="21"/>
                    </w:rPr>
                    <w:t>规模</w:t>
                  </w:r>
                </w:p>
              </w:tc>
            </w:tr>
            <w:tr w14:paraId="152CDC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5" w:hRule="atLeast"/>
                <w:jc w:val="center"/>
              </w:trPr>
              <w:tc>
                <w:tcPr>
                  <w:tcW w:w="1081" w:type="dxa"/>
                  <w:noWrap w:val="0"/>
                  <w:vAlign w:val="center"/>
                </w:tcPr>
                <w:p w14:paraId="3F150407">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rPr>
                  </w:pPr>
                  <w:r>
                    <w:rPr>
                      <w:rFonts w:hint="eastAsia" w:ascii="Times New Roman" w:hAnsi="宋体" w:eastAsia="宋体" w:cs="Times New Roman"/>
                      <w:b w:val="0"/>
                      <w:bCs/>
                      <w:color w:val="auto"/>
                      <w:sz w:val="21"/>
                      <w:szCs w:val="21"/>
                    </w:rPr>
                    <w:t>主体</w:t>
                  </w:r>
                  <w:r>
                    <w:rPr>
                      <w:rFonts w:hint="default" w:ascii="Times New Roman" w:hAnsi="宋体" w:eastAsia="宋体" w:cs="Times New Roman"/>
                      <w:b w:val="0"/>
                      <w:bCs/>
                      <w:color w:val="auto"/>
                      <w:sz w:val="21"/>
                      <w:szCs w:val="21"/>
                    </w:rPr>
                    <w:t>工程</w:t>
                  </w:r>
                </w:p>
              </w:tc>
              <w:tc>
                <w:tcPr>
                  <w:tcW w:w="1803" w:type="dxa"/>
                  <w:noWrap w:val="0"/>
                  <w:vAlign w:val="center"/>
                </w:tcPr>
                <w:p w14:paraId="5FF5C3B1">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建筑垃圾分类堆存转运区</w:t>
                  </w:r>
                </w:p>
              </w:tc>
              <w:tc>
                <w:tcPr>
                  <w:tcW w:w="5010" w:type="dxa"/>
                  <w:gridSpan w:val="2"/>
                  <w:noWrap w:val="0"/>
                  <w:vAlign w:val="center"/>
                </w:tcPr>
                <w:p w14:paraId="09740EAF">
                  <w:pPr>
                    <w:keepNext w:val="0"/>
                    <w:keepLines w:val="0"/>
                    <w:suppressLineNumbers w:val="0"/>
                    <w:spacing w:before="0" w:beforeAutospacing="0" w:after="0" w:afterAutospacing="0"/>
                    <w:ind w:left="0" w:leftChars="0" w:right="0" w:firstLine="420" w:firstLineChars="200"/>
                    <w:jc w:val="left"/>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主要工艺是将原料进行简单堆存、由下游资源化利用企业接收转运</w:t>
                  </w:r>
                </w:p>
              </w:tc>
            </w:tr>
            <w:tr w14:paraId="26ECD8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1081" w:type="dxa"/>
                  <w:vMerge w:val="restart"/>
                  <w:noWrap w:val="0"/>
                  <w:vAlign w:val="center"/>
                </w:tcPr>
                <w:p w14:paraId="1B543FE0">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r>
                    <w:rPr>
                      <w:rFonts w:hint="default" w:ascii="Times New Roman" w:hAnsi="宋体" w:eastAsia="宋体" w:cs="Times New Roman"/>
                      <w:b w:val="0"/>
                      <w:bCs/>
                      <w:color w:val="auto"/>
                      <w:sz w:val="21"/>
                      <w:szCs w:val="21"/>
                    </w:rPr>
                    <w:t>辅助工程</w:t>
                  </w:r>
                </w:p>
              </w:tc>
              <w:tc>
                <w:tcPr>
                  <w:tcW w:w="1803" w:type="dxa"/>
                  <w:noWrap w:val="0"/>
                  <w:vAlign w:val="center"/>
                </w:tcPr>
                <w:p w14:paraId="676D9B41">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厂区综合办公楼</w:t>
                  </w:r>
                </w:p>
              </w:tc>
              <w:tc>
                <w:tcPr>
                  <w:tcW w:w="5010" w:type="dxa"/>
                  <w:gridSpan w:val="2"/>
                  <w:noWrap w:val="0"/>
                  <w:vAlign w:val="center"/>
                </w:tcPr>
                <w:p w14:paraId="52FF5137">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包括厕所、办公楼，总面积600</w:t>
                  </w:r>
                  <w:r>
                    <w:rPr>
                      <w:rFonts w:hint="default" w:ascii="Times New Roman" w:hAnsi="宋体" w:eastAsia="宋体" w:cs="Times New Roman"/>
                      <w:b w:val="0"/>
                      <w:bCs/>
                      <w:color w:val="auto"/>
                      <w:sz w:val="21"/>
                      <w:szCs w:val="21"/>
                      <w:lang w:val="en-US" w:eastAsia="zh-CN"/>
                    </w:rPr>
                    <w:t>m</w:t>
                  </w:r>
                  <w:r>
                    <w:rPr>
                      <w:rFonts w:hint="default" w:ascii="Times New Roman" w:hAnsi="宋体" w:eastAsia="宋体" w:cs="Times New Roman"/>
                      <w:b w:val="0"/>
                      <w:bCs/>
                      <w:color w:val="auto"/>
                      <w:sz w:val="21"/>
                      <w:szCs w:val="21"/>
                      <w:vertAlign w:val="superscript"/>
                      <w:lang w:val="en-US" w:eastAsia="zh-CN"/>
                    </w:rPr>
                    <w:t>2</w:t>
                  </w:r>
                  <w:r>
                    <w:rPr>
                      <w:rFonts w:hint="eastAsia" w:ascii="Times New Roman" w:hAnsi="宋体" w:eastAsia="宋体" w:cs="Times New Roman"/>
                      <w:b w:val="0"/>
                      <w:bCs/>
                      <w:color w:val="auto"/>
                      <w:sz w:val="21"/>
                      <w:szCs w:val="21"/>
                      <w:lang w:val="en-US" w:eastAsia="zh-CN"/>
                    </w:rPr>
                    <w:t>，依托现有</w:t>
                  </w:r>
                </w:p>
              </w:tc>
            </w:tr>
            <w:tr w14:paraId="58F7ED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081" w:type="dxa"/>
                  <w:vMerge w:val="continue"/>
                  <w:noWrap w:val="0"/>
                  <w:vAlign w:val="center"/>
                </w:tcPr>
                <w:p w14:paraId="37379A79">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p>
              </w:tc>
              <w:tc>
                <w:tcPr>
                  <w:tcW w:w="1803" w:type="dxa"/>
                  <w:noWrap w:val="0"/>
                  <w:vAlign w:val="center"/>
                </w:tcPr>
                <w:p w14:paraId="71C8535A">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员工生活区</w:t>
                  </w:r>
                </w:p>
              </w:tc>
              <w:tc>
                <w:tcPr>
                  <w:tcW w:w="5010" w:type="dxa"/>
                  <w:gridSpan w:val="2"/>
                  <w:noWrap w:val="0"/>
                  <w:vAlign w:val="center"/>
                </w:tcPr>
                <w:p w14:paraId="70062E3A">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本项目不设食宿，依托现有</w:t>
                  </w:r>
                </w:p>
              </w:tc>
            </w:tr>
            <w:tr w14:paraId="3D7EB0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jc w:val="center"/>
              </w:trPr>
              <w:tc>
                <w:tcPr>
                  <w:tcW w:w="1081" w:type="dxa"/>
                  <w:vMerge w:val="restart"/>
                  <w:noWrap w:val="0"/>
                  <w:vAlign w:val="center"/>
                </w:tcPr>
                <w:p w14:paraId="7D8FEA36">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r>
                    <w:rPr>
                      <w:rFonts w:hint="default" w:ascii="Times New Roman" w:hAnsi="宋体" w:eastAsia="宋体" w:cs="Times New Roman"/>
                      <w:b w:val="0"/>
                      <w:bCs/>
                      <w:color w:val="auto"/>
                      <w:sz w:val="21"/>
                      <w:szCs w:val="21"/>
                    </w:rPr>
                    <w:t>公用工程</w:t>
                  </w:r>
                </w:p>
              </w:tc>
              <w:tc>
                <w:tcPr>
                  <w:tcW w:w="1803" w:type="dxa"/>
                  <w:noWrap w:val="0"/>
                  <w:vAlign w:val="center"/>
                </w:tcPr>
                <w:p w14:paraId="62042A23">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给水</w:t>
                  </w:r>
                </w:p>
              </w:tc>
              <w:tc>
                <w:tcPr>
                  <w:tcW w:w="5010" w:type="dxa"/>
                  <w:gridSpan w:val="2"/>
                  <w:noWrap w:val="0"/>
                  <w:vAlign w:val="center"/>
                </w:tcPr>
                <w:p w14:paraId="00868749">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en-US"/>
                    </w:rPr>
                  </w:pPr>
                  <w:r>
                    <w:rPr>
                      <w:rFonts w:hint="eastAsia" w:ascii="Times New Roman" w:hAnsi="宋体" w:eastAsia="宋体" w:cs="Times New Roman"/>
                      <w:b w:val="0"/>
                      <w:bCs/>
                      <w:color w:val="auto"/>
                      <w:sz w:val="21"/>
                      <w:szCs w:val="21"/>
                      <w:lang w:val="en-US" w:eastAsia="zh-CN"/>
                    </w:rPr>
                    <w:t>由自来水厂通过市政管网供给和收集雨水，依托现有</w:t>
                  </w:r>
                </w:p>
              </w:tc>
            </w:tr>
            <w:tr w14:paraId="1293A1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jc w:val="center"/>
              </w:trPr>
              <w:tc>
                <w:tcPr>
                  <w:tcW w:w="1081" w:type="dxa"/>
                  <w:vMerge w:val="continue"/>
                  <w:noWrap w:val="0"/>
                  <w:vAlign w:val="center"/>
                </w:tcPr>
                <w:p w14:paraId="30017B2B">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p>
              </w:tc>
              <w:tc>
                <w:tcPr>
                  <w:tcW w:w="1803" w:type="dxa"/>
                  <w:noWrap w:val="0"/>
                  <w:vAlign w:val="center"/>
                </w:tcPr>
                <w:p w14:paraId="5B11456C">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给电</w:t>
                  </w:r>
                </w:p>
              </w:tc>
              <w:tc>
                <w:tcPr>
                  <w:tcW w:w="5010" w:type="dxa"/>
                  <w:gridSpan w:val="2"/>
                  <w:noWrap w:val="0"/>
                  <w:vAlign w:val="center"/>
                </w:tcPr>
                <w:p w14:paraId="1A909805">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由市政电网供给，依托现有</w:t>
                  </w:r>
                </w:p>
              </w:tc>
            </w:tr>
            <w:tr w14:paraId="34F5DF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jc w:val="center"/>
              </w:trPr>
              <w:tc>
                <w:tcPr>
                  <w:tcW w:w="1081" w:type="dxa"/>
                  <w:vMerge w:val="continue"/>
                  <w:noWrap w:val="0"/>
                  <w:vAlign w:val="center"/>
                </w:tcPr>
                <w:p w14:paraId="5C432D26">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p>
              </w:tc>
              <w:tc>
                <w:tcPr>
                  <w:tcW w:w="1803" w:type="dxa"/>
                  <w:noWrap w:val="0"/>
                  <w:vAlign w:val="center"/>
                </w:tcPr>
                <w:p w14:paraId="52C20B0C">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en-US"/>
                    </w:rPr>
                  </w:pPr>
                  <w:r>
                    <w:rPr>
                      <w:rFonts w:hint="eastAsia" w:ascii="Times New Roman" w:hAnsi="宋体" w:eastAsia="宋体" w:cs="Times New Roman"/>
                      <w:b w:val="0"/>
                      <w:bCs/>
                      <w:color w:val="auto"/>
                      <w:sz w:val="21"/>
                      <w:szCs w:val="21"/>
                      <w:lang w:val="en-US" w:eastAsia="zh-CN"/>
                    </w:rPr>
                    <w:t>排水</w:t>
                  </w:r>
                </w:p>
              </w:tc>
              <w:tc>
                <w:tcPr>
                  <w:tcW w:w="5010" w:type="dxa"/>
                  <w:gridSpan w:val="2"/>
                  <w:noWrap w:val="0"/>
                  <w:vAlign w:val="center"/>
                </w:tcPr>
                <w:p w14:paraId="7594580E">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生活污水经处理后用于林地灌溉，洗车废水沉淀后回用，不外排</w:t>
                  </w:r>
                </w:p>
              </w:tc>
            </w:tr>
            <w:tr w14:paraId="79A381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1081" w:type="dxa"/>
                  <w:vMerge w:val="restart"/>
                  <w:noWrap w:val="0"/>
                  <w:vAlign w:val="center"/>
                </w:tcPr>
                <w:p w14:paraId="0888A63B">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r>
                    <w:rPr>
                      <w:rFonts w:hint="default" w:ascii="Times New Roman" w:hAnsi="宋体" w:eastAsia="宋体" w:cs="Times New Roman"/>
                      <w:b w:val="0"/>
                      <w:bCs/>
                      <w:color w:val="auto"/>
                      <w:sz w:val="21"/>
                      <w:szCs w:val="21"/>
                    </w:rPr>
                    <w:t>环保工程</w:t>
                  </w:r>
                </w:p>
              </w:tc>
              <w:tc>
                <w:tcPr>
                  <w:tcW w:w="1803" w:type="dxa"/>
                  <w:noWrap w:val="0"/>
                  <w:vAlign w:val="center"/>
                </w:tcPr>
                <w:p w14:paraId="4CBCDF64">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废水处理措施</w:t>
                  </w:r>
                </w:p>
              </w:tc>
              <w:tc>
                <w:tcPr>
                  <w:tcW w:w="5010" w:type="dxa"/>
                  <w:gridSpan w:val="2"/>
                  <w:noWrap w:val="0"/>
                  <w:vAlign w:val="center"/>
                </w:tcPr>
                <w:p w14:paraId="1C1DE197">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生活污水经</w:t>
                  </w:r>
                  <w:r>
                    <w:rPr>
                      <w:rFonts w:hint="default" w:ascii="Times New Roman" w:hAnsi="宋体" w:eastAsia="宋体" w:cs="Times New Roman"/>
                      <w:b w:val="0"/>
                      <w:bCs/>
                      <w:color w:val="auto"/>
                      <w:sz w:val="21"/>
                      <w:szCs w:val="21"/>
                      <w:lang w:val="en-US" w:eastAsia="zh-CN"/>
                    </w:rPr>
                    <w:t>三级化粪池10m</w:t>
                  </w:r>
                  <w:r>
                    <w:rPr>
                      <w:rFonts w:hint="default" w:ascii="Times New Roman" w:hAnsi="宋体" w:eastAsia="宋体" w:cs="Times New Roman"/>
                      <w:b w:val="0"/>
                      <w:bCs/>
                      <w:color w:val="auto"/>
                      <w:sz w:val="21"/>
                      <w:szCs w:val="21"/>
                      <w:vertAlign w:val="superscript"/>
                      <w:lang w:val="en-US" w:eastAsia="zh-CN"/>
                    </w:rPr>
                    <w:t>3</w:t>
                  </w:r>
                  <w:r>
                    <w:rPr>
                      <w:rFonts w:hint="eastAsia" w:ascii="Times New Roman" w:hAnsi="宋体" w:eastAsia="宋体" w:cs="Times New Roman"/>
                      <w:b w:val="0"/>
                      <w:bCs/>
                      <w:color w:val="auto"/>
                      <w:sz w:val="21"/>
                      <w:szCs w:val="21"/>
                      <w:lang w:val="en-US" w:eastAsia="zh-CN"/>
                    </w:rPr>
                    <w:t>处理达标后用于灌溉林地，洗车废水沉淀后回用，不外排。</w:t>
                  </w:r>
                </w:p>
              </w:tc>
            </w:tr>
            <w:tr w14:paraId="512E2F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1081" w:type="dxa"/>
                  <w:vMerge w:val="continue"/>
                  <w:noWrap w:val="0"/>
                  <w:vAlign w:val="center"/>
                </w:tcPr>
                <w:p w14:paraId="609E0363">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p>
              </w:tc>
              <w:tc>
                <w:tcPr>
                  <w:tcW w:w="1803" w:type="dxa"/>
                  <w:noWrap w:val="0"/>
                  <w:vAlign w:val="center"/>
                </w:tcPr>
                <w:p w14:paraId="09339186">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en-US"/>
                    </w:rPr>
                  </w:pPr>
                  <w:r>
                    <w:rPr>
                      <w:rFonts w:hint="eastAsia" w:ascii="Times New Roman" w:hAnsi="宋体" w:eastAsia="宋体" w:cs="Times New Roman"/>
                      <w:b w:val="0"/>
                      <w:bCs/>
                      <w:color w:val="auto"/>
                      <w:sz w:val="21"/>
                      <w:szCs w:val="21"/>
                      <w:lang w:val="en-US" w:eastAsia="zh-CN"/>
                    </w:rPr>
                    <w:t>噪声处理措施</w:t>
                  </w:r>
                </w:p>
              </w:tc>
              <w:tc>
                <w:tcPr>
                  <w:tcW w:w="5010" w:type="dxa"/>
                  <w:gridSpan w:val="2"/>
                  <w:noWrap w:val="0"/>
                  <w:vAlign w:val="center"/>
                </w:tcPr>
                <w:p w14:paraId="0738D074">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default" w:ascii="Times New Roman" w:hAnsi="宋体" w:eastAsia="宋体" w:cs="Times New Roman"/>
                      <w:b w:val="0"/>
                      <w:bCs/>
                      <w:color w:val="auto"/>
                      <w:sz w:val="21"/>
                      <w:szCs w:val="21"/>
                      <w:lang w:val="en-US" w:eastAsia="zh-CN"/>
                    </w:rPr>
                    <w:t>合理布置</w:t>
                  </w:r>
                </w:p>
              </w:tc>
            </w:tr>
            <w:tr w14:paraId="1E5E43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1081" w:type="dxa"/>
                  <w:vMerge w:val="continue"/>
                  <w:noWrap w:val="0"/>
                  <w:vAlign w:val="center"/>
                </w:tcPr>
                <w:p w14:paraId="30FDD8D5">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p>
              </w:tc>
              <w:tc>
                <w:tcPr>
                  <w:tcW w:w="1803" w:type="dxa"/>
                  <w:noWrap w:val="0"/>
                  <w:vAlign w:val="center"/>
                </w:tcPr>
                <w:p w14:paraId="2A7DCE4C">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废气处理措施</w:t>
                  </w:r>
                </w:p>
              </w:tc>
              <w:tc>
                <w:tcPr>
                  <w:tcW w:w="5010" w:type="dxa"/>
                  <w:gridSpan w:val="2"/>
                  <w:noWrap w:val="0"/>
                  <w:vAlign w:val="center"/>
                </w:tcPr>
                <w:p w14:paraId="62A77D51">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设置水喷淋措施、雾炮防尘措施</w:t>
                  </w:r>
                </w:p>
              </w:tc>
            </w:tr>
            <w:tr w14:paraId="0A51A7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6" w:hRule="atLeast"/>
                <w:jc w:val="center"/>
              </w:trPr>
              <w:tc>
                <w:tcPr>
                  <w:tcW w:w="1081" w:type="dxa"/>
                  <w:vMerge w:val="continue"/>
                  <w:noWrap w:val="0"/>
                  <w:vAlign w:val="center"/>
                </w:tcPr>
                <w:p w14:paraId="46FA2530">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rPr>
                  </w:pPr>
                </w:p>
              </w:tc>
              <w:tc>
                <w:tcPr>
                  <w:tcW w:w="1803" w:type="dxa"/>
                  <w:noWrap w:val="0"/>
                  <w:vAlign w:val="center"/>
                </w:tcPr>
                <w:p w14:paraId="25A27686">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固废处理措施</w:t>
                  </w:r>
                </w:p>
              </w:tc>
              <w:tc>
                <w:tcPr>
                  <w:tcW w:w="900" w:type="dxa"/>
                  <w:shd w:val="clear" w:color="auto" w:fill="auto"/>
                  <w:noWrap w:val="0"/>
                  <w:vAlign w:val="center"/>
                </w:tcPr>
                <w:p w14:paraId="53B3C556">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default" w:ascii="Times New Roman" w:hAnsi="宋体" w:eastAsia="宋体" w:cs="Times New Roman"/>
                      <w:b w:val="0"/>
                      <w:bCs/>
                      <w:color w:val="auto"/>
                      <w:sz w:val="21"/>
                      <w:szCs w:val="21"/>
                      <w:lang w:val="en-US" w:eastAsia="zh-CN"/>
                    </w:rPr>
                    <w:t>生活</w:t>
                  </w:r>
                </w:p>
                <w:p w14:paraId="2D8C9EA0">
                  <w:pPr>
                    <w:keepNext w:val="0"/>
                    <w:keepLines w:val="0"/>
                    <w:suppressLineNumbers w:val="0"/>
                    <w:spacing w:before="0" w:beforeAutospacing="0" w:after="0" w:afterAutospacing="0"/>
                    <w:ind w:left="0" w:leftChars="0" w:right="0" w:rightChars="0" w:firstLine="0" w:firstLineChars="0"/>
                    <w:jc w:val="center"/>
                    <w:rPr>
                      <w:rFonts w:hint="eastAsia" w:ascii="Times New Roman" w:hAnsi="宋体" w:eastAsia="宋体" w:cs="Times New Roman"/>
                      <w:b w:val="0"/>
                      <w:bCs/>
                      <w:color w:val="auto"/>
                      <w:kern w:val="2"/>
                      <w:sz w:val="21"/>
                      <w:szCs w:val="21"/>
                      <w:lang w:val="en-US" w:eastAsia="zh-CN" w:bidi="ar-SA"/>
                    </w:rPr>
                  </w:pPr>
                  <w:r>
                    <w:rPr>
                      <w:rFonts w:hint="default" w:ascii="Times New Roman" w:hAnsi="宋体" w:eastAsia="宋体" w:cs="Times New Roman"/>
                      <w:b w:val="0"/>
                      <w:bCs/>
                      <w:color w:val="auto"/>
                      <w:sz w:val="21"/>
                      <w:szCs w:val="21"/>
                      <w:lang w:val="en-US" w:eastAsia="zh-CN"/>
                    </w:rPr>
                    <w:t>垃圾</w:t>
                  </w:r>
                </w:p>
              </w:tc>
              <w:tc>
                <w:tcPr>
                  <w:tcW w:w="4110" w:type="dxa"/>
                  <w:shd w:val="clear" w:color="auto" w:fill="auto"/>
                  <w:noWrap w:val="0"/>
                  <w:vAlign w:val="center"/>
                </w:tcPr>
                <w:p w14:paraId="6A32044A">
                  <w:pPr>
                    <w:keepNext w:val="0"/>
                    <w:keepLines w:val="0"/>
                    <w:suppressLineNumbers w:val="0"/>
                    <w:spacing w:before="0" w:beforeAutospacing="0" w:after="0" w:afterAutospacing="0"/>
                    <w:ind w:left="0" w:leftChars="0" w:right="0" w:rightChars="0" w:firstLine="0" w:firstLineChars="0"/>
                    <w:jc w:val="center"/>
                    <w:rPr>
                      <w:rFonts w:hint="default" w:ascii="Times New Roman" w:hAnsi="宋体" w:eastAsia="宋体" w:cs="Times New Roman"/>
                      <w:b w:val="0"/>
                      <w:bCs/>
                      <w:color w:val="auto"/>
                      <w:kern w:val="2"/>
                      <w:sz w:val="21"/>
                      <w:szCs w:val="21"/>
                      <w:lang w:val="en-US" w:eastAsia="zh-CN" w:bidi="ar-SA"/>
                    </w:rPr>
                  </w:pPr>
                  <w:r>
                    <w:rPr>
                      <w:rFonts w:hint="default" w:ascii="Times New Roman" w:hAnsi="宋体" w:eastAsia="宋体" w:cs="Times New Roman"/>
                      <w:b w:val="0"/>
                      <w:bCs/>
                      <w:color w:val="auto"/>
                      <w:sz w:val="21"/>
                      <w:szCs w:val="21"/>
                      <w:lang w:val="en-US" w:eastAsia="zh-CN"/>
                    </w:rPr>
                    <w:t>统一收集后交由环卫部门处置</w:t>
                  </w:r>
                </w:p>
              </w:tc>
            </w:tr>
          </w:tbl>
          <w:p w14:paraId="3D271AF5">
            <w:pPr>
              <w:pStyle w:val="79"/>
              <w:keepNext w:val="0"/>
              <w:keepLines w:val="0"/>
              <w:suppressLineNumbers w:val="0"/>
              <w:spacing w:before="0" w:beforeAutospacing="0" w:after="0" w:afterAutospacing="0" w:line="360" w:lineRule="auto"/>
              <w:ind w:left="0" w:right="0"/>
              <w:jc w:val="center"/>
              <w:rPr>
                <w:rFonts w:hint="eastAsia" w:ascii="Times New Roman" w:hAnsi="Times New Roman" w:cs="Times New Roman"/>
                <w:color w:val="auto"/>
                <w:szCs w:val="21"/>
                <w:lang w:val="en-US" w:eastAsia="zh-CN"/>
              </w:rPr>
            </w:pPr>
          </w:p>
          <w:p w14:paraId="07623281">
            <w:pPr>
              <w:pStyle w:val="79"/>
              <w:keepNext w:val="0"/>
              <w:keepLines w:val="0"/>
              <w:suppressLineNumbers w:val="0"/>
              <w:spacing w:before="0" w:beforeAutospacing="0" w:after="0" w:afterAutospacing="0" w:line="360" w:lineRule="auto"/>
              <w:ind w:left="0" w:right="0"/>
              <w:jc w:val="center"/>
              <w:rPr>
                <w:rFonts w:hint="eastAsia" w:ascii="Times New Roman" w:hAnsi="Times New Roman" w:cs="Times New Roman"/>
                <w:color w:val="auto"/>
                <w:szCs w:val="21"/>
                <w:lang w:val="en-US" w:eastAsia="zh-CN"/>
              </w:rPr>
            </w:pPr>
          </w:p>
          <w:p w14:paraId="4BE7FBD1">
            <w:pPr>
              <w:pStyle w:val="79"/>
              <w:keepNext w:val="0"/>
              <w:keepLines w:val="0"/>
              <w:suppressLineNumbers w:val="0"/>
              <w:spacing w:before="0" w:beforeAutospacing="0" w:after="0" w:afterAutospacing="0" w:line="360" w:lineRule="auto"/>
              <w:ind w:left="0" w:right="0"/>
              <w:jc w:val="center"/>
              <w:rPr>
                <w:rFonts w:hint="eastAsia" w:ascii="Times New Roman" w:hAnsi="Times New Roman" w:cs="Times New Roman"/>
                <w:color w:val="auto"/>
                <w:szCs w:val="21"/>
                <w:lang w:val="en-US" w:eastAsia="zh-CN"/>
              </w:rPr>
            </w:pPr>
          </w:p>
          <w:p w14:paraId="55B1F3BA">
            <w:pPr>
              <w:pStyle w:val="79"/>
              <w:keepNext w:val="0"/>
              <w:keepLines w:val="0"/>
              <w:suppressLineNumbers w:val="0"/>
              <w:spacing w:before="0" w:beforeAutospacing="0" w:after="0" w:afterAutospacing="0" w:line="360" w:lineRule="auto"/>
              <w:ind w:left="0" w:right="0"/>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表2-2 本项目主要生产设备一览表</w:t>
            </w:r>
          </w:p>
          <w:tbl>
            <w:tblPr>
              <w:tblStyle w:val="35"/>
              <w:tblW w:w="7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253"/>
              <w:gridCol w:w="2869"/>
              <w:gridCol w:w="1026"/>
              <w:gridCol w:w="938"/>
            </w:tblGrid>
            <w:tr w14:paraId="46A34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91" w:type="dxa"/>
                  <w:noWrap w:val="0"/>
                  <w:vAlign w:val="center"/>
                </w:tcPr>
                <w:p w14:paraId="65EAE90C">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default" w:ascii="Times New Roman" w:hAnsi="宋体" w:eastAsia="宋体" w:cs="Times New Roman"/>
                      <w:b w:val="0"/>
                      <w:bCs/>
                      <w:color w:val="auto"/>
                      <w:sz w:val="21"/>
                      <w:szCs w:val="21"/>
                      <w:lang w:val="en-US" w:eastAsia="zh-CN"/>
                    </w:rPr>
                    <w:t>序号</w:t>
                  </w:r>
                </w:p>
              </w:tc>
              <w:tc>
                <w:tcPr>
                  <w:tcW w:w="2253" w:type="dxa"/>
                  <w:noWrap w:val="0"/>
                  <w:vAlign w:val="center"/>
                </w:tcPr>
                <w:p w14:paraId="0F3A8D77">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default" w:ascii="Times New Roman" w:hAnsi="宋体" w:eastAsia="宋体" w:cs="Times New Roman"/>
                      <w:b w:val="0"/>
                      <w:bCs/>
                      <w:color w:val="auto"/>
                      <w:sz w:val="21"/>
                      <w:szCs w:val="21"/>
                      <w:lang w:val="en-US" w:eastAsia="zh-CN"/>
                    </w:rPr>
                    <w:t>名称</w:t>
                  </w:r>
                </w:p>
              </w:tc>
              <w:tc>
                <w:tcPr>
                  <w:tcW w:w="2869" w:type="dxa"/>
                  <w:noWrap w:val="0"/>
                  <w:vAlign w:val="center"/>
                </w:tcPr>
                <w:p w14:paraId="28022761">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default" w:ascii="Times New Roman" w:hAnsi="宋体" w:eastAsia="宋体" w:cs="Times New Roman"/>
                      <w:b w:val="0"/>
                      <w:bCs/>
                      <w:color w:val="auto"/>
                      <w:sz w:val="21"/>
                      <w:szCs w:val="21"/>
                      <w:lang w:val="en-US" w:eastAsia="zh-CN"/>
                    </w:rPr>
                    <w:t>型号</w:t>
                  </w:r>
                </w:p>
              </w:tc>
              <w:tc>
                <w:tcPr>
                  <w:tcW w:w="1026" w:type="dxa"/>
                  <w:noWrap w:val="0"/>
                  <w:vAlign w:val="center"/>
                </w:tcPr>
                <w:p w14:paraId="01E81749">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单位</w:t>
                  </w:r>
                </w:p>
              </w:tc>
              <w:tc>
                <w:tcPr>
                  <w:tcW w:w="938" w:type="dxa"/>
                  <w:noWrap w:val="0"/>
                  <w:vAlign w:val="center"/>
                </w:tcPr>
                <w:p w14:paraId="4E0FC2FD">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default" w:ascii="Times New Roman" w:hAnsi="宋体" w:eastAsia="宋体" w:cs="Times New Roman"/>
                      <w:b w:val="0"/>
                      <w:bCs/>
                      <w:color w:val="auto"/>
                      <w:sz w:val="21"/>
                      <w:szCs w:val="21"/>
                      <w:lang w:val="en-US" w:eastAsia="zh-CN"/>
                    </w:rPr>
                    <w:t>数量</w:t>
                  </w:r>
                </w:p>
              </w:tc>
            </w:tr>
            <w:tr w14:paraId="582F1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791" w:type="dxa"/>
                  <w:noWrap w:val="0"/>
                  <w:vAlign w:val="center"/>
                </w:tcPr>
                <w:p w14:paraId="1B6998C1">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1</w:t>
                  </w:r>
                </w:p>
              </w:tc>
              <w:tc>
                <w:tcPr>
                  <w:tcW w:w="2253" w:type="dxa"/>
                  <w:noWrap w:val="0"/>
                  <w:vAlign w:val="center"/>
                </w:tcPr>
                <w:p w14:paraId="4352126B">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勾机</w:t>
                  </w:r>
                </w:p>
              </w:tc>
              <w:tc>
                <w:tcPr>
                  <w:tcW w:w="2869" w:type="dxa"/>
                  <w:noWrap w:val="0"/>
                  <w:vAlign w:val="center"/>
                </w:tcPr>
                <w:p w14:paraId="4808D3B9">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w:t>
                  </w:r>
                </w:p>
              </w:tc>
              <w:tc>
                <w:tcPr>
                  <w:tcW w:w="1026" w:type="dxa"/>
                  <w:noWrap w:val="0"/>
                  <w:vAlign w:val="center"/>
                </w:tcPr>
                <w:p w14:paraId="36F1E491">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台</w:t>
                  </w:r>
                </w:p>
              </w:tc>
              <w:tc>
                <w:tcPr>
                  <w:tcW w:w="938" w:type="dxa"/>
                  <w:noWrap w:val="0"/>
                  <w:vAlign w:val="center"/>
                </w:tcPr>
                <w:p w14:paraId="093940CA">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1</w:t>
                  </w:r>
                </w:p>
              </w:tc>
            </w:tr>
            <w:tr w14:paraId="5B03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791" w:type="dxa"/>
                  <w:noWrap w:val="0"/>
                  <w:vAlign w:val="center"/>
                </w:tcPr>
                <w:p w14:paraId="690038B4">
                  <w:pPr>
                    <w:keepNext w:val="0"/>
                    <w:keepLines w:val="0"/>
                    <w:suppressLineNumbers w:val="0"/>
                    <w:spacing w:before="0" w:beforeAutospacing="0" w:after="0" w:afterAutospacing="0"/>
                    <w:ind w:left="0" w:leftChars="0" w:right="0" w:firstLine="0" w:firstLineChars="0"/>
                    <w:jc w:val="center"/>
                    <w:rPr>
                      <w:rFonts w:hint="eastAsia"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2</w:t>
                  </w:r>
                </w:p>
              </w:tc>
              <w:tc>
                <w:tcPr>
                  <w:tcW w:w="2253" w:type="dxa"/>
                  <w:noWrap w:val="0"/>
                  <w:vAlign w:val="center"/>
                </w:tcPr>
                <w:p w14:paraId="10020C22">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铲车</w:t>
                  </w:r>
                </w:p>
              </w:tc>
              <w:tc>
                <w:tcPr>
                  <w:tcW w:w="2869" w:type="dxa"/>
                  <w:noWrap w:val="0"/>
                  <w:vAlign w:val="center"/>
                </w:tcPr>
                <w:p w14:paraId="00C0421B">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w:t>
                  </w:r>
                </w:p>
              </w:tc>
              <w:tc>
                <w:tcPr>
                  <w:tcW w:w="1026" w:type="dxa"/>
                  <w:noWrap w:val="0"/>
                  <w:vAlign w:val="center"/>
                </w:tcPr>
                <w:p w14:paraId="0287D09B">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台</w:t>
                  </w:r>
                </w:p>
              </w:tc>
              <w:tc>
                <w:tcPr>
                  <w:tcW w:w="938" w:type="dxa"/>
                  <w:noWrap w:val="0"/>
                  <w:vAlign w:val="center"/>
                </w:tcPr>
                <w:p w14:paraId="4A0B9848">
                  <w:pPr>
                    <w:keepNext w:val="0"/>
                    <w:keepLines w:val="0"/>
                    <w:suppressLineNumbers w:val="0"/>
                    <w:spacing w:before="0" w:beforeAutospacing="0" w:after="0" w:afterAutospacing="0"/>
                    <w:ind w:left="0" w:leftChars="0" w:right="0" w:firstLine="0" w:firstLineChars="0"/>
                    <w:jc w:val="center"/>
                    <w:rPr>
                      <w:rFonts w:hint="default" w:ascii="Times New Roman" w:hAnsi="宋体" w:eastAsia="宋体" w:cs="Times New Roman"/>
                      <w:b w:val="0"/>
                      <w:bCs/>
                      <w:color w:val="auto"/>
                      <w:sz w:val="21"/>
                      <w:szCs w:val="21"/>
                      <w:lang w:val="en-US" w:eastAsia="zh-CN"/>
                    </w:rPr>
                  </w:pPr>
                  <w:r>
                    <w:rPr>
                      <w:rFonts w:hint="eastAsia" w:ascii="Times New Roman" w:hAnsi="宋体" w:eastAsia="宋体" w:cs="Times New Roman"/>
                      <w:b w:val="0"/>
                      <w:bCs/>
                      <w:color w:val="auto"/>
                      <w:sz w:val="21"/>
                      <w:szCs w:val="21"/>
                      <w:lang w:val="en-US" w:eastAsia="zh-CN"/>
                    </w:rPr>
                    <w:t>1</w:t>
                  </w:r>
                </w:p>
              </w:tc>
            </w:tr>
          </w:tbl>
          <w:p w14:paraId="3B5235E1">
            <w:pPr>
              <w:pStyle w:val="79"/>
              <w:keepNext w:val="0"/>
              <w:keepLines w:val="0"/>
              <w:numPr>
                <w:ilvl w:val="0"/>
                <w:numId w:val="0"/>
              </w:numPr>
              <w:suppressLineNumbers w:val="0"/>
              <w:spacing w:before="0" w:beforeAutospacing="0" w:after="0" w:afterAutospacing="0" w:line="360" w:lineRule="auto"/>
              <w:ind w:left="148" w:leftChars="0" w:right="0" w:rightChars="0" w:firstLine="482" w:firstLineChars="0"/>
              <w:jc w:val="both"/>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2、产品方案及主要原辅材料</w:t>
            </w:r>
          </w:p>
          <w:p w14:paraId="4AC28256">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b/>
                <w:color w:val="auto"/>
                <w:kern w:val="24"/>
                <w:sz w:val="21"/>
                <w:szCs w:val="21"/>
                <w:lang w:val="en-US" w:eastAsia="zh-CN" w:bidi="ar-SA"/>
              </w:rPr>
            </w:pPr>
            <w:r>
              <w:rPr>
                <w:rFonts w:hint="default"/>
                <w:color w:val="auto"/>
                <w:sz w:val="24"/>
                <w:szCs w:val="24"/>
                <w:lang w:val="en-US" w:eastAsia="zh-CN"/>
              </w:rPr>
              <w:t>本项目原料</w:t>
            </w:r>
            <w:r>
              <w:rPr>
                <w:rFonts w:hint="eastAsia"/>
                <w:color w:val="auto"/>
                <w:sz w:val="24"/>
                <w:szCs w:val="24"/>
                <w:lang w:val="en-US" w:eastAsia="zh-CN"/>
              </w:rPr>
              <w:t>来源主要是城镇建设工程，各类工业建筑工程产生的建筑垃圾</w:t>
            </w:r>
            <w:r>
              <w:rPr>
                <w:rFonts w:hint="default" w:ascii="Times New Roman" w:hAnsi="Times New Roman" w:cs="Times New Roman"/>
                <w:color w:val="auto"/>
                <w:sz w:val="24"/>
                <w:szCs w:val="24"/>
                <w:lang w:val="en-US" w:eastAsia="zh-CN"/>
              </w:rPr>
              <w:t>。运输车辆应根据装运货物的性质采取覆盖、密封等相应措施，以避免泄漏、遗撒，严禁运输车辆沿途抛洒</w:t>
            </w:r>
            <w:r>
              <w:rPr>
                <w:rFonts w:hint="eastAsia" w:ascii="Times New Roman" w:hAnsi="Times New Roman" w:cs="Times New Roman"/>
                <w:color w:val="auto"/>
                <w:sz w:val="24"/>
                <w:szCs w:val="24"/>
                <w:lang w:val="en-US" w:eastAsia="zh-CN"/>
              </w:rPr>
              <w:t>。</w:t>
            </w:r>
          </w:p>
          <w:p w14:paraId="5D31A2D5">
            <w:pPr>
              <w:keepNext w:val="0"/>
              <w:keepLines w:val="0"/>
              <w:suppressLineNumbers w:val="0"/>
              <w:spacing w:before="0" w:beforeAutospacing="0" w:after="0" w:afterAutospacing="0" w:line="360" w:lineRule="auto"/>
              <w:ind w:left="0" w:right="0" w:firstLine="422" w:firstLineChars="200"/>
              <w:jc w:val="center"/>
              <w:rPr>
                <w:rFonts w:hint="default" w:ascii="Times New Roman" w:hAnsi="Times New Roman" w:cs="Times New Roman" w:eastAsiaTheme="minorEastAsia"/>
                <w:b/>
                <w:color w:val="auto"/>
                <w:kern w:val="24"/>
                <w:sz w:val="21"/>
                <w:szCs w:val="21"/>
                <w:lang w:val="en-US" w:eastAsia="zh-CN" w:bidi="ar-SA"/>
              </w:rPr>
            </w:pPr>
            <w:r>
              <w:rPr>
                <w:rFonts w:hint="eastAsia" w:ascii="Times New Roman" w:hAnsi="Times New Roman" w:cs="Times New Roman" w:eastAsiaTheme="minorEastAsia"/>
                <w:b/>
                <w:color w:val="auto"/>
                <w:kern w:val="24"/>
                <w:sz w:val="21"/>
                <w:szCs w:val="21"/>
                <w:lang w:val="en-US" w:eastAsia="zh-CN" w:bidi="ar-SA"/>
              </w:rPr>
              <w:t>表2-3 项目原辅材料明细表</w:t>
            </w:r>
            <w:r>
              <w:rPr>
                <w:rFonts w:hint="eastAsia" w:ascii="Times New Roman" w:hAnsi="Times New Roman" w:cs="Times New Roman"/>
                <w:b/>
                <w:color w:val="auto"/>
                <w:kern w:val="24"/>
                <w:sz w:val="21"/>
                <w:szCs w:val="21"/>
                <w:lang w:val="en-US" w:eastAsia="zh-CN" w:bidi="ar-SA"/>
              </w:rPr>
              <w:t>（单位：万吨）</w:t>
            </w:r>
          </w:p>
          <w:tbl>
            <w:tblPr>
              <w:tblStyle w:val="36"/>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213"/>
              <w:gridCol w:w="1565"/>
              <w:gridCol w:w="1683"/>
              <w:gridCol w:w="767"/>
              <w:gridCol w:w="1100"/>
              <w:gridCol w:w="891"/>
            </w:tblGrid>
            <w:tr w14:paraId="73897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2" w:hRule="atLeast"/>
                <w:jc w:val="center"/>
              </w:trPr>
              <w:tc>
                <w:tcPr>
                  <w:tcW w:w="716" w:type="dxa"/>
                  <w:vAlign w:val="center"/>
                </w:tcPr>
                <w:p w14:paraId="66DD560C">
                  <w:pPr>
                    <w:keepNext w:val="0"/>
                    <w:keepLines w:val="0"/>
                    <w:suppressLineNumbers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序号</w:t>
                  </w:r>
                </w:p>
              </w:tc>
              <w:tc>
                <w:tcPr>
                  <w:tcW w:w="1213" w:type="dxa"/>
                  <w:vAlign w:val="center"/>
                </w:tcPr>
                <w:p w14:paraId="367E32E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原料</w:t>
                  </w:r>
                  <w:r>
                    <w:rPr>
                      <w:rFonts w:hint="default" w:ascii="Times New Roman" w:hAnsi="Times New Roman" w:cs="Times New Roman"/>
                      <w:color w:val="auto"/>
                    </w:rPr>
                    <w:t>名</w:t>
                  </w:r>
                  <w:r>
                    <w:rPr>
                      <w:rFonts w:hint="default" w:ascii="Times New Roman" w:hAnsi="Times New Roman" w:cs="Times New Roman"/>
                      <w:color w:val="auto"/>
                      <w:lang w:val="en-US" w:eastAsia="zh-CN"/>
                    </w:rPr>
                    <w:t>称</w:t>
                  </w:r>
                </w:p>
              </w:tc>
              <w:tc>
                <w:tcPr>
                  <w:tcW w:w="1565" w:type="dxa"/>
                  <w:vAlign w:val="center"/>
                </w:tcPr>
                <w:p w14:paraId="0B4C5C9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废物代码</w:t>
                  </w:r>
                </w:p>
              </w:tc>
              <w:tc>
                <w:tcPr>
                  <w:tcW w:w="1683" w:type="dxa"/>
                  <w:vAlign w:val="center"/>
                </w:tcPr>
                <w:p w14:paraId="354A805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最大贮存量（t）</w:t>
                  </w:r>
                </w:p>
              </w:tc>
              <w:tc>
                <w:tcPr>
                  <w:tcW w:w="767" w:type="dxa"/>
                  <w:vAlign w:val="center"/>
                </w:tcPr>
                <w:p w14:paraId="2B7F31AC">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形态</w:t>
                  </w:r>
                </w:p>
              </w:tc>
              <w:tc>
                <w:tcPr>
                  <w:tcW w:w="1100" w:type="dxa"/>
                  <w:vAlign w:val="center"/>
                </w:tcPr>
                <w:p w14:paraId="5509502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贮存方式</w:t>
                  </w:r>
                </w:p>
              </w:tc>
              <w:tc>
                <w:tcPr>
                  <w:tcW w:w="891" w:type="dxa"/>
                  <w:vAlign w:val="center"/>
                </w:tcPr>
                <w:p w14:paraId="4406CE6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来源</w:t>
                  </w:r>
                </w:p>
              </w:tc>
            </w:tr>
            <w:tr w14:paraId="47BA0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14:paraId="2BFFAD0B">
                  <w:pPr>
                    <w:keepNext w:val="0"/>
                    <w:keepLines w:val="0"/>
                    <w:suppressLineNumbers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1213" w:type="dxa"/>
                  <w:vAlign w:val="center"/>
                </w:tcPr>
                <w:p w14:paraId="1F8D4D7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工程垃圾</w:t>
                  </w:r>
                </w:p>
              </w:tc>
              <w:tc>
                <w:tcPr>
                  <w:tcW w:w="1565" w:type="dxa"/>
                  <w:vAlign w:val="center"/>
                </w:tcPr>
                <w:p w14:paraId="3FC1EE9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900-001-S72</w:t>
                  </w:r>
                </w:p>
              </w:tc>
              <w:tc>
                <w:tcPr>
                  <w:tcW w:w="1683" w:type="dxa"/>
                  <w:vAlign w:val="center"/>
                </w:tcPr>
                <w:p w14:paraId="38DE395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30000</w:t>
                  </w:r>
                </w:p>
              </w:tc>
              <w:tc>
                <w:tcPr>
                  <w:tcW w:w="767" w:type="dxa"/>
                  <w:vAlign w:val="center"/>
                </w:tcPr>
                <w:p w14:paraId="4F2A5D4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固态</w:t>
                  </w:r>
                </w:p>
              </w:tc>
              <w:tc>
                <w:tcPr>
                  <w:tcW w:w="1100" w:type="dxa"/>
                  <w:vAlign w:val="center"/>
                </w:tcPr>
                <w:p w14:paraId="0CAEB99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堆场</w:t>
                  </w:r>
                </w:p>
              </w:tc>
              <w:tc>
                <w:tcPr>
                  <w:tcW w:w="891" w:type="dxa"/>
                  <w:vMerge w:val="restart"/>
                  <w:vAlign w:val="center"/>
                </w:tcPr>
                <w:p w14:paraId="7529488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廉江市的建筑垃圾</w:t>
                  </w:r>
                </w:p>
              </w:tc>
            </w:tr>
            <w:tr w14:paraId="53FB8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14:paraId="4D3EF0F2">
                  <w:pPr>
                    <w:keepNext w:val="0"/>
                    <w:keepLines w:val="0"/>
                    <w:suppressLineNumbers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w:t>
                  </w:r>
                </w:p>
              </w:tc>
              <w:tc>
                <w:tcPr>
                  <w:tcW w:w="1213" w:type="dxa"/>
                  <w:vAlign w:val="center"/>
                </w:tcPr>
                <w:p w14:paraId="7554F2C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装修垃圾</w:t>
                  </w:r>
                </w:p>
              </w:tc>
              <w:tc>
                <w:tcPr>
                  <w:tcW w:w="1565" w:type="dxa"/>
                  <w:vAlign w:val="center"/>
                </w:tcPr>
                <w:p w14:paraId="47981FB7">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501-001-S74</w:t>
                  </w:r>
                </w:p>
              </w:tc>
              <w:tc>
                <w:tcPr>
                  <w:tcW w:w="1683" w:type="dxa"/>
                  <w:vAlign w:val="center"/>
                </w:tcPr>
                <w:p w14:paraId="709ADC0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20000</w:t>
                  </w:r>
                </w:p>
              </w:tc>
              <w:tc>
                <w:tcPr>
                  <w:tcW w:w="767" w:type="dxa"/>
                  <w:vAlign w:val="center"/>
                </w:tcPr>
                <w:p w14:paraId="5351868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固态</w:t>
                  </w:r>
                </w:p>
              </w:tc>
              <w:tc>
                <w:tcPr>
                  <w:tcW w:w="1100" w:type="dxa"/>
                  <w:vAlign w:val="center"/>
                </w:tcPr>
                <w:p w14:paraId="03EEE35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堆场</w:t>
                  </w:r>
                </w:p>
              </w:tc>
              <w:tc>
                <w:tcPr>
                  <w:tcW w:w="891" w:type="dxa"/>
                  <w:vMerge w:val="continue"/>
                  <w:vAlign w:val="center"/>
                </w:tcPr>
                <w:p w14:paraId="00E6766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p>
              </w:tc>
            </w:tr>
            <w:tr w14:paraId="54EE7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14:paraId="73E05D81">
                  <w:pPr>
                    <w:keepNext w:val="0"/>
                    <w:keepLines w:val="0"/>
                    <w:suppressLineNumbers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w:t>
                  </w:r>
                </w:p>
              </w:tc>
              <w:tc>
                <w:tcPr>
                  <w:tcW w:w="1213" w:type="dxa"/>
                  <w:vAlign w:val="center"/>
                </w:tcPr>
                <w:p w14:paraId="1B424E1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拆除垃圾</w:t>
                  </w:r>
                </w:p>
              </w:tc>
              <w:tc>
                <w:tcPr>
                  <w:tcW w:w="1565" w:type="dxa"/>
                  <w:vAlign w:val="center"/>
                </w:tcPr>
                <w:p w14:paraId="30FFEFA8">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 502-001-S73、</w:t>
                  </w:r>
                </w:p>
                <w:p w14:paraId="4BDE5789">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502-002-S73、502-003-S73、502-099-S73</w:t>
                  </w:r>
                </w:p>
              </w:tc>
              <w:tc>
                <w:tcPr>
                  <w:tcW w:w="1683" w:type="dxa"/>
                  <w:vAlign w:val="center"/>
                </w:tcPr>
                <w:p w14:paraId="4682D3A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40000</w:t>
                  </w:r>
                </w:p>
              </w:tc>
              <w:tc>
                <w:tcPr>
                  <w:tcW w:w="767" w:type="dxa"/>
                  <w:vAlign w:val="center"/>
                </w:tcPr>
                <w:p w14:paraId="4746B5E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固态</w:t>
                  </w:r>
                </w:p>
              </w:tc>
              <w:tc>
                <w:tcPr>
                  <w:tcW w:w="1100" w:type="dxa"/>
                  <w:vAlign w:val="center"/>
                </w:tcPr>
                <w:p w14:paraId="4928F6C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堆场</w:t>
                  </w:r>
                </w:p>
              </w:tc>
              <w:tc>
                <w:tcPr>
                  <w:tcW w:w="891" w:type="dxa"/>
                  <w:vMerge w:val="continue"/>
                  <w:vAlign w:val="center"/>
                </w:tcPr>
                <w:p w14:paraId="0BDF60E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p>
              </w:tc>
            </w:tr>
            <w:tr w14:paraId="18B98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14:paraId="17E909D1">
                  <w:pPr>
                    <w:keepNext w:val="0"/>
                    <w:keepLines w:val="0"/>
                    <w:suppressLineNumbers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w:t>
                  </w:r>
                </w:p>
              </w:tc>
              <w:tc>
                <w:tcPr>
                  <w:tcW w:w="1213" w:type="dxa"/>
                  <w:vAlign w:val="center"/>
                </w:tcPr>
                <w:p w14:paraId="5B99C5E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工程渣土</w:t>
                  </w:r>
                </w:p>
              </w:tc>
              <w:tc>
                <w:tcPr>
                  <w:tcW w:w="1565" w:type="dxa"/>
                  <w:vAlign w:val="center"/>
                </w:tcPr>
                <w:p w14:paraId="43FBFCBF">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900-001-S70</w:t>
                  </w:r>
                </w:p>
              </w:tc>
              <w:tc>
                <w:tcPr>
                  <w:tcW w:w="1683" w:type="dxa"/>
                  <w:vAlign w:val="center"/>
                </w:tcPr>
                <w:p w14:paraId="727B409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30000</w:t>
                  </w:r>
                </w:p>
              </w:tc>
              <w:tc>
                <w:tcPr>
                  <w:tcW w:w="767" w:type="dxa"/>
                  <w:vAlign w:val="center"/>
                </w:tcPr>
                <w:p w14:paraId="2F8BA2D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固态</w:t>
                  </w:r>
                </w:p>
              </w:tc>
              <w:tc>
                <w:tcPr>
                  <w:tcW w:w="1100" w:type="dxa"/>
                  <w:vAlign w:val="center"/>
                </w:tcPr>
                <w:p w14:paraId="17F65C4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堆场</w:t>
                  </w:r>
                </w:p>
              </w:tc>
              <w:tc>
                <w:tcPr>
                  <w:tcW w:w="891" w:type="dxa"/>
                  <w:vMerge w:val="continue"/>
                  <w:vAlign w:val="center"/>
                </w:tcPr>
                <w:p w14:paraId="7DFCE82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p>
              </w:tc>
            </w:tr>
            <w:tr w14:paraId="2B722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5" w:type="dxa"/>
                  <w:gridSpan w:val="7"/>
                  <w:vAlign w:val="center"/>
                </w:tcPr>
                <w:p w14:paraId="1C8C53A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备注：根据《固体废物分类与代码目录》（2024年）给出的废物代码</w:t>
                  </w:r>
                </w:p>
              </w:tc>
            </w:tr>
          </w:tbl>
          <w:p w14:paraId="0A9CCD68">
            <w:pPr>
              <w:pStyle w:val="21"/>
              <w:keepNext w:val="0"/>
              <w:keepLines w:val="0"/>
              <w:suppressLineNumbers w:val="0"/>
              <w:spacing w:before="0" w:beforeAutospacing="0" w:after="0" w:afterAutospacing="0" w:line="360" w:lineRule="auto"/>
              <w:ind w:left="0" w:right="0" w:firstLine="482" w:firstLineChars="200"/>
              <w:rPr>
                <w:rFonts w:hint="default" w:asciiTheme="minorHAnsi" w:hAnsiTheme="minorHAnsi" w:eastAsiaTheme="minorEastAsia" w:cstheme="minorBidi"/>
                <w:color w:val="auto"/>
                <w:kern w:val="2"/>
                <w:sz w:val="24"/>
                <w:szCs w:val="24"/>
                <w:lang w:val="en-US" w:eastAsia="zh-CN" w:bidi="ar-SA"/>
              </w:rPr>
            </w:pPr>
            <w:r>
              <w:rPr>
                <w:rFonts w:hint="eastAsia" w:asciiTheme="minorHAnsi" w:hAnsiTheme="minorHAnsi" w:eastAsiaTheme="minorEastAsia" w:cstheme="minorBidi"/>
                <w:b/>
                <w:bCs/>
                <w:color w:val="auto"/>
                <w:kern w:val="2"/>
                <w:sz w:val="24"/>
                <w:szCs w:val="24"/>
                <w:lang w:val="en-US" w:eastAsia="zh-CN" w:bidi="ar-SA"/>
              </w:rPr>
              <w:t>①本项目原料来源及主要成分</w:t>
            </w:r>
            <w:r>
              <w:rPr>
                <w:rFonts w:hint="eastAsia" w:asciiTheme="minorHAnsi" w:hAnsiTheme="minorHAnsi" w:eastAsiaTheme="minorEastAsia" w:cstheme="minorBidi"/>
                <w:color w:val="auto"/>
                <w:kern w:val="2"/>
                <w:sz w:val="24"/>
                <w:szCs w:val="24"/>
                <w:lang w:val="en-US" w:eastAsia="zh-CN" w:bidi="ar-SA"/>
              </w:rPr>
              <w:t xml:space="preserve"> </w:t>
            </w:r>
          </w:p>
          <w:p w14:paraId="517CA4A4">
            <w:pPr>
              <w:pStyle w:val="21"/>
              <w:keepNext w:val="0"/>
              <w:keepLines w:val="0"/>
              <w:suppressLineNumbers w:val="0"/>
              <w:spacing w:before="0" w:beforeAutospacing="0" w:after="0" w:afterAutospacing="0" w:line="360" w:lineRule="auto"/>
              <w:ind w:left="0" w:right="0" w:firstLine="480" w:firstLineChars="200"/>
              <w:rPr>
                <w:rFonts w:hint="default" w:asciiTheme="minorHAnsi" w:hAnsiTheme="minorHAnsi" w:eastAsiaTheme="minorEastAsia" w:cstheme="minorBidi"/>
                <w:color w:val="auto"/>
                <w:kern w:val="2"/>
                <w:sz w:val="24"/>
                <w:szCs w:val="24"/>
                <w:lang w:val="en-US" w:eastAsia="zh-CN" w:bidi="ar-SA"/>
              </w:rPr>
            </w:pPr>
            <w:r>
              <w:rPr>
                <w:rFonts w:hint="eastAsia" w:asciiTheme="minorHAnsi" w:hAnsiTheme="minorHAnsi" w:eastAsiaTheme="minorEastAsia" w:cstheme="minorBidi"/>
                <w:color w:val="auto"/>
                <w:kern w:val="2"/>
                <w:sz w:val="24"/>
                <w:szCs w:val="24"/>
                <w:lang w:val="en-US" w:eastAsia="zh-CN" w:bidi="ar-SA"/>
              </w:rPr>
              <w:t>本项目仅接收</w:t>
            </w:r>
            <w:r>
              <w:rPr>
                <w:rFonts w:hint="eastAsia" w:cstheme="minorBidi"/>
                <w:color w:val="auto"/>
                <w:kern w:val="2"/>
                <w:sz w:val="24"/>
                <w:szCs w:val="24"/>
                <w:lang w:val="en-US" w:eastAsia="zh-CN" w:bidi="ar-SA"/>
              </w:rPr>
              <w:t>廉江市</w:t>
            </w:r>
            <w:r>
              <w:rPr>
                <w:rFonts w:hint="eastAsia" w:asciiTheme="minorHAnsi" w:hAnsiTheme="minorHAnsi" w:eastAsiaTheme="minorEastAsia" w:cstheme="minorBidi"/>
                <w:color w:val="auto"/>
                <w:kern w:val="2"/>
                <w:sz w:val="24"/>
                <w:szCs w:val="24"/>
                <w:lang w:val="en-US" w:eastAsia="zh-CN" w:bidi="ar-SA"/>
              </w:rPr>
              <w:t xml:space="preserve">的建筑垃圾，建筑垃圾是指建设单位、施工单位新建、改建、扩建和拆除各类建筑物、构筑物、管网等以及居民装饰装修房屋过程所产生的弃土、弃料、其他废弃物等固体废弃物，不含有毒有害垃圾。根据建筑垃圾产生来源的不同，主要分为拆除建筑垃圾、装修建筑垃圾和工程渣土。 </w:t>
            </w:r>
          </w:p>
          <w:p w14:paraId="1B35CD6D">
            <w:pPr>
              <w:pStyle w:val="21"/>
              <w:keepNext w:val="0"/>
              <w:keepLines w:val="0"/>
              <w:suppressLineNumbers w:val="0"/>
              <w:spacing w:before="0" w:beforeAutospacing="0" w:after="0" w:afterAutospacing="0" w:line="360" w:lineRule="auto"/>
              <w:ind w:left="0" w:right="0" w:firstLine="480" w:firstLineChars="200"/>
              <w:rPr>
                <w:rFonts w:hint="default" w:asciiTheme="minorHAnsi" w:hAnsiTheme="minorHAnsi" w:eastAsiaTheme="minorEastAsia" w:cstheme="minorBidi"/>
                <w:color w:val="auto"/>
                <w:kern w:val="2"/>
                <w:sz w:val="24"/>
                <w:szCs w:val="24"/>
                <w:lang w:val="en-US" w:eastAsia="zh-CN" w:bidi="ar-SA"/>
              </w:rPr>
            </w:pPr>
            <w:r>
              <w:rPr>
                <w:rFonts w:hint="eastAsia" w:asciiTheme="minorHAnsi" w:hAnsiTheme="minorHAnsi" w:eastAsiaTheme="minorEastAsia" w:cstheme="minorBidi"/>
                <w:color w:val="auto"/>
                <w:kern w:val="2"/>
                <w:sz w:val="24"/>
                <w:szCs w:val="24"/>
                <w:lang w:val="en-US" w:eastAsia="zh-CN" w:bidi="ar-SA"/>
              </w:rPr>
              <w:t xml:space="preserve">拆除建筑垃圾：主要来自建筑物拆除和场地准备活动，主要包括各类建筑物、构筑物等拆除过程中产生的废旧砖瓦、混凝土、碎石、金属弃料、木柴弃料、塑料弃料及其他弃料。 </w:t>
            </w:r>
          </w:p>
          <w:p w14:paraId="58D5FD83">
            <w:pPr>
              <w:pStyle w:val="21"/>
              <w:keepNext w:val="0"/>
              <w:keepLines w:val="0"/>
              <w:suppressLineNumbers w:val="0"/>
              <w:spacing w:before="0" w:beforeAutospacing="0" w:after="0" w:afterAutospacing="0" w:line="360" w:lineRule="auto"/>
              <w:ind w:left="0" w:right="0" w:firstLine="480" w:firstLineChars="200"/>
              <w:rPr>
                <w:rFonts w:hint="default" w:asciiTheme="minorHAnsi" w:hAnsiTheme="minorHAnsi" w:eastAsiaTheme="minorEastAsia" w:cstheme="minorBidi"/>
                <w:color w:val="auto"/>
                <w:kern w:val="2"/>
                <w:sz w:val="24"/>
                <w:szCs w:val="24"/>
                <w:lang w:val="en-US" w:eastAsia="zh-CN" w:bidi="ar-SA"/>
              </w:rPr>
            </w:pPr>
            <w:r>
              <w:rPr>
                <w:rFonts w:hint="eastAsia" w:asciiTheme="minorHAnsi" w:hAnsiTheme="minorHAnsi" w:eastAsiaTheme="minorEastAsia" w:cstheme="minorBidi"/>
                <w:color w:val="auto"/>
                <w:kern w:val="2"/>
                <w:sz w:val="24"/>
                <w:szCs w:val="24"/>
                <w:lang w:val="en-US" w:eastAsia="zh-CN" w:bidi="ar-SA"/>
              </w:rPr>
              <w:t xml:space="preserve">装修建筑垃圾：主要来自建筑装饰和装修业，包括装饰装修房屋过程中产生的废旧砖瓦、混凝土、碎石、金属弃料、木柴弃料、塑料弃料等废弃物，不含废油漆等挥发性废弃物、危险废物及有毒有害垃圾。 </w:t>
            </w:r>
          </w:p>
          <w:p w14:paraId="36D2D937">
            <w:pPr>
              <w:pStyle w:val="21"/>
              <w:keepNext w:val="0"/>
              <w:keepLines w:val="0"/>
              <w:suppressLineNumbers w:val="0"/>
              <w:spacing w:before="0" w:beforeAutospacing="0" w:after="0" w:afterAutospacing="0" w:line="360" w:lineRule="auto"/>
              <w:ind w:left="0" w:right="0" w:firstLine="480" w:firstLineChars="200"/>
              <w:rPr>
                <w:rFonts w:hint="default" w:asciiTheme="minorHAnsi" w:hAnsiTheme="minorHAnsi" w:eastAsiaTheme="minorEastAsia" w:cstheme="minorBidi"/>
                <w:color w:val="auto"/>
                <w:kern w:val="2"/>
                <w:sz w:val="24"/>
                <w:szCs w:val="24"/>
                <w:lang w:val="en-US" w:eastAsia="zh-CN" w:bidi="ar-SA"/>
              </w:rPr>
            </w:pPr>
            <w:r>
              <w:rPr>
                <w:rFonts w:hint="eastAsia" w:asciiTheme="minorHAnsi" w:hAnsiTheme="minorHAnsi" w:eastAsiaTheme="minorEastAsia" w:cstheme="minorBidi"/>
                <w:color w:val="auto"/>
                <w:kern w:val="2"/>
                <w:sz w:val="24"/>
                <w:szCs w:val="24"/>
                <w:lang w:val="en-US" w:eastAsia="zh-CN" w:bidi="ar-SA"/>
              </w:rPr>
              <w:t xml:space="preserve">工程渣土：主要包括各类建筑物、构筑物、管网等地基开挖过程中产生的弃土，以及钻孔桩基施工、地下连续墙施工、泥水盾构施工、水平定向钻及泥水顶管等施工产生的泥浆，工程渣土含水率不超过 </w:t>
            </w:r>
            <w:r>
              <w:rPr>
                <w:rFonts w:hint="default" w:asciiTheme="minorHAnsi" w:hAnsiTheme="minorHAnsi" w:eastAsiaTheme="minorEastAsia" w:cstheme="minorBidi"/>
                <w:color w:val="auto"/>
                <w:kern w:val="2"/>
                <w:sz w:val="24"/>
                <w:szCs w:val="24"/>
                <w:lang w:val="en-US" w:eastAsia="zh-CN" w:bidi="ar-SA"/>
              </w:rPr>
              <w:t>30%</w:t>
            </w:r>
            <w:r>
              <w:rPr>
                <w:rFonts w:hint="eastAsia" w:asciiTheme="minorHAnsi" w:hAnsiTheme="minorHAnsi" w:eastAsiaTheme="minorEastAsia" w:cstheme="minorBidi"/>
                <w:color w:val="auto"/>
                <w:kern w:val="2"/>
                <w:sz w:val="24"/>
                <w:szCs w:val="24"/>
                <w:lang w:val="en-US" w:eastAsia="zh-CN" w:bidi="ar-SA"/>
              </w:rPr>
              <w:t xml:space="preserve">，不含重金属、生活污泥、工业污泥、危险废物及有毒有害物质。 </w:t>
            </w:r>
          </w:p>
          <w:p w14:paraId="0B8A10E8">
            <w:pPr>
              <w:pStyle w:val="21"/>
              <w:keepNext w:val="0"/>
              <w:keepLines w:val="0"/>
              <w:suppressLineNumbers w:val="0"/>
              <w:spacing w:before="0" w:beforeAutospacing="0" w:after="0" w:afterAutospacing="0" w:line="360" w:lineRule="auto"/>
              <w:ind w:left="0" w:right="0" w:firstLine="482" w:firstLineChars="200"/>
              <w:rPr>
                <w:rFonts w:hint="default" w:asciiTheme="minorHAnsi" w:hAnsiTheme="minorHAnsi" w:eastAsiaTheme="minorEastAsia" w:cstheme="minorBidi"/>
                <w:b/>
                <w:bCs/>
                <w:color w:val="auto"/>
                <w:kern w:val="2"/>
                <w:sz w:val="24"/>
                <w:szCs w:val="24"/>
                <w:lang w:val="en-US" w:eastAsia="zh-CN" w:bidi="ar-SA"/>
              </w:rPr>
            </w:pPr>
            <w:r>
              <w:rPr>
                <w:rFonts w:hint="eastAsia" w:asciiTheme="minorHAnsi" w:hAnsiTheme="minorHAnsi" w:eastAsiaTheme="minorEastAsia" w:cstheme="minorBidi"/>
                <w:b/>
                <w:bCs/>
                <w:color w:val="auto"/>
                <w:kern w:val="2"/>
                <w:sz w:val="24"/>
                <w:szCs w:val="24"/>
                <w:lang w:val="en-US" w:eastAsia="zh-CN" w:bidi="ar-SA"/>
              </w:rPr>
              <w:t xml:space="preserve">②建筑垃圾质量、成分控制要求 </w:t>
            </w:r>
          </w:p>
          <w:p w14:paraId="063C94A9">
            <w:pPr>
              <w:pStyle w:val="21"/>
              <w:keepNext w:val="0"/>
              <w:keepLines w:val="0"/>
              <w:suppressLineNumbers w:val="0"/>
              <w:spacing w:before="0" w:beforeAutospacing="0" w:after="0" w:afterAutospacing="0" w:line="360" w:lineRule="auto"/>
              <w:ind w:left="0" w:right="0" w:firstLine="480" w:firstLineChars="200"/>
              <w:rPr>
                <w:rFonts w:hint="default" w:asciiTheme="minorHAnsi" w:hAnsiTheme="minorHAnsi" w:eastAsiaTheme="minorEastAsia" w:cstheme="minorBidi"/>
                <w:color w:val="auto"/>
                <w:kern w:val="2"/>
                <w:sz w:val="24"/>
                <w:szCs w:val="24"/>
                <w:lang w:val="en-US" w:eastAsia="zh-CN" w:bidi="ar-SA"/>
              </w:rPr>
            </w:pPr>
            <w:r>
              <w:rPr>
                <w:rFonts w:hint="eastAsia" w:asciiTheme="minorHAnsi" w:hAnsiTheme="minorHAnsi" w:eastAsiaTheme="minorEastAsia" w:cstheme="minorBidi"/>
                <w:color w:val="auto"/>
                <w:kern w:val="2"/>
                <w:sz w:val="24"/>
                <w:szCs w:val="24"/>
                <w:lang w:val="en-US" w:eastAsia="zh-CN" w:bidi="ar-SA"/>
              </w:rPr>
              <w:t>本项目原料严禁接收农业固体废物、生活源固体废物、危险废物和有毒有害垃圾，不含沥青混凝土、废油漆等挥发性废弃物。在接收建筑垃圾前需要明确建筑垃圾来源，对来源不明或者掺杂农业固体废物、生活源固体废物、危险废物及有毒有害垃圾不予接收。</w:t>
            </w:r>
          </w:p>
          <w:p w14:paraId="4087C415">
            <w:pPr>
              <w:keepNext w:val="0"/>
              <w:keepLines w:val="0"/>
              <w:widowControl/>
              <w:suppressLineNumbers w:val="0"/>
              <w:adjustRightInd w:val="0"/>
              <w:snapToGrid w:val="0"/>
              <w:spacing w:before="0" w:beforeAutospacing="0" w:after="0" w:afterAutospacing="0" w:line="360" w:lineRule="auto"/>
              <w:ind w:left="420" w:right="0"/>
              <w:rPr>
                <w:rFonts w:hint="default" w:ascii="Times New Roman" w:hAnsi="Times New Roman" w:cs="Times New Roman"/>
                <w:b/>
                <w:bCs/>
                <w:color w:val="auto"/>
                <w:sz w:val="21"/>
                <w:szCs w:val="21"/>
                <w:lang w:val="en-US" w:eastAsia="zh-CN"/>
              </w:rPr>
            </w:pPr>
            <w:r>
              <w:rPr>
                <w:rFonts w:hint="eastAsia" w:ascii="Times New Roman" w:hAnsi="Times New Roman" w:eastAsia="宋体" w:cs="Times New Roman"/>
                <w:b/>
                <w:bCs/>
                <w:color w:val="auto"/>
                <w:sz w:val="24"/>
                <w:szCs w:val="24"/>
                <w:lang w:val="en-US" w:eastAsia="zh-CN"/>
              </w:rPr>
              <w:t>3、项目物料平衡情况</w:t>
            </w:r>
          </w:p>
          <w:p w14:paraId="33CEB0A2">
            <w:pPr>
              <w:pStyle w:val="21"/>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表2-4 物料平衡分析一览表</w:t>
            </w:r>
          </w:p>
          <w:tbl>
            <w:tblPr>
              <w:tblStyle w:val="36"/>
              <w:tblW w:w="7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9"/>
              <w:gridCol w:w="1539"/>
              <w:gridCol w:w="1539"/>
              <w:gridCol w:w="1540"/>
              <w:gridCol w:w="1540"/>
            </w:tblGrid>
            <w:tr w14:paraId="064BA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539" w:type="dxa"/>
                  <w:vAlign w:val="center"/>
                </w:tcPr>
                <w:p w14:paraId="0DC9DFD1">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序号</w:t>
                  </w:r>
                </w:p>
              </w:tc>
              <w:tc>
                <w:tcPr>
                  <w:tcW w:w="3078" w:type="dxa"/>
                  <w:gridSpan w:val="2"/>
                  <w:vAlign w:val="center"/>
                </w:tcPr>
                <w:p w14:paraId="6FAE7697">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投入</w:t>
                  </w:r>
                </w:p>
              </w:tc>
              <w:tc>
                <w:tcPr>
                  <w:tcW w:w="3080" w:type="dxa"/>
                  <w:gridSpan w:val="2"/>
                  <w:vAlign w:val="center"/>
                </w:tcPr>
                <w:p w14:paraId="4C6FCC45">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产出</w:t>
                  </w:r>
                </w:p>
              </w:tc>
            </w:tr>
            <w:tr w14:paraId="45802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539" w:type="dxa"/>
                  <w:vAlign w:val="center"/>
                </w:tcPr>
                <w:p w14:paraId="78F9B563">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1</w:t>
                  </w:r>
                </w:p>
              </w:tc>
              <w:tc>
                <w:tcPr>
                  <w:tcW w:w="1539" w:type="dxa"/>
                  <w:shd w:val="clear" w:color="auto" w:fill="auto"/>
                  <w:vAlign w:val="center"/>
                </w:tcPr>
                <w:p w14:paraId="54DF70E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建筑垃圾</w:t>
                  </w:r>
                </w:p>
              </w:tc>
              <w:tc>
                <w:tcPr>
                  <w:tcW w:w="1539" w:type="dxa"/>
                  <w:shd w:val="clear" w:color="auto" w:fill="auto"/>
                  <w:vAlign w:val="center"/>
                </w:tcPr>
                <w:p w14:paraId="3BF8648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12万m</w:t>
                  </w:r>
                  <w:r>
                    <w:rPr>
                      <w:rFonts w:hint="eastAsia" w:ascii="Times New Roman" w:hAnsi="Times New Roman" w:cs="Times New Roman"/>
                      <w:color w:val="auto"/>
                      <w:kern w:val="2"/>
                      <w:sz w:val="21"/>
                      <w:szCs w:val="24"/>
                      <w:vertAlign w:val="superscript"/>
                      <w:lang w:val="en-US" w:eastAsia="zh-CN" w:bidi="ar-SA"/>
                    </w:rPr>
                    <w:t>3</w:t>
                  </w:r>
                </w:p>
              </w:tc>
              <w:tc>
                <w:tcPr>
                  <w:tcW w:w="1540" w:type="dxa"/>
                  <w:shd w:val="clear" w:color="auto" w:fill="auto"/>
                  <w:vAlign w:val="center"/>
                </w:tcPr>
                <w:p w14:paraId="03C6A1E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kern w:val="2"/>
                      <w:sz w:val="21"/>
                      <w:szCs w:val="24"/>
                      <w:highlight w:val="none"/>
                      <w:shd w:val="clear"/>
                      <w:lang w:val="en-US" w:eastAsia="zh-CN" w:bidi="ar-SA"/>
                    </w:rPr>
                    <w:t>产品名称</w:t>
                  </w:r>
                </w:p>
              </w:tc>
              <w:tc>
                <w:tcPr>
                  <w:tcW w:w="1540" w:type="dxa"/>
                  <w:shd w:val="clear" w:color="auto" w:fill="auto"/>
                  <w:vAlign w:val="center"/>
                </w:tcPr>
                <w:p w14:paraId="7B54F14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kern w:val="2"/>
                      <w:sz w:val="21"/>
                      <w:szCs w:val="24"/>
                      <w:lang w:val="en-US" w:eastAsia="zh-CN" w:bidi="ar-SA"/>
                    </w:rPr>
                    <w:t>年产量</w:t>
                  </w:r>
                </w:p>
              </w:tc>
            </w:tr>
            <w:tr w14:paraId="4AB5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539" w:type="dxa"/>
                  <w:vAlign w:val="center"/>
                </w:tcPr>
                <w:p w14:paraId="78816175">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2</w:t>
                  </w:r>
                </w:p>
              </w:tc>
              <w:tc>
                <w:tcPr>
                  <w:tcW w:w="1539" w:type="dxa"/>
                  <w:shd w:val="clear" w:color="auto" w:fill="auto"/>
                  <w:vAlign w:val="center"/>
                </w:tcPr>
                <w:p w14:paraId="360CB62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lang w:val="en-US" w:eastAsia="zh-CN"/>
                    </w:rPr>
                    <w:t>电</w:t>
                  </w:r>
                </w:p>
              </w:tc>
              <w:tc>
                <w:tcPr>
                  <w:tcW w:w="1539" w:type="dxa"/>
                  <w:shd w:val="clear" w:color="auto" w:fill="auto"/>
                  <w:vAlign w:val="center"/>
                </w:tcPr>
                <w:p w14:paraId="1AC4451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138万</w:t>
                  </w:r>
                  <w:r>
                    <w:rPr>
                      <w:rFonts w:hint="default" w:ascii="Times New Roman" w:hAnsi="Times New Roman" w:cs="Times New Roman"/>
                      <w:color w:val="auto"/>
                      <w:lang w:val="en-US" w:eastAsia="zh-CN"/>
                    </w:rPr>
                    <w:t>KWH</w:t>
                  </w:r>
                </w:p>
              </w:tc>
              <w:tc>
                <w:tcPr>
                  <w:tcW w:w="1540" w:type="dxa"/>
                  <w:vMerge w:val="restart"/>
                  <w:vAlign w:val="center"/>
                </w:tcPr>
                <w:p w14:paraId="3E444A36">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val="0"/>
                      <w:bCs w:val="0"/>
                      <w:color w:val="auto"/>
                      <w:vertAlign w:val="baseline"/>
                      <w:lang w:val="en-US" w:eastAsia="zh-CN"/>
                    </w:rPr>
                    <w:t>建筑垃圾</w:t>
                  </w:r>
                </w:p>
              </w:tc>
              <w:tc>
                <w:tcPr>
                  <w:tcW w:w="1540" w:type="dxa"/>
                  <w:vMerge w:val="restart"/>
                  <w:vAlign w:val="center"/>
                </w:tcPr>
                <w:p w14:paraId="27154333">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val="0"/>
                      <w:bCs w:val="0"/>
                      <w:color w:val="auto"/>
                      <w:vertAlign w:val="baseline"/>
                      <w:lang w:val="en-US" w:eastAsia="zh-CN"/>
                    </w:rPr>
                    <w:t>12万m</w:t>
                  </w:r>
                  <w:r>
                    <w:rPr>
                      <w:rFonts w:hint="eastAsia" w:ascii="Times New Roman" w:hAnsi="Times New Roman" w:cs="Times New Roman"/>
                      <w:b w:val="0"/>
                      <w:bCs w:val="0"/>
                      <w:color w:val="auto"/>
                      <w:vertAlign w:val="superscript"/>
                      <w:lang w:val="en-US" w:eastAsia="zh-CN"/>
                    </w:rPr>
                    <w:t>3</w:t>
                  </w:r>
                </w:p>
              </w:tc>
            </w:tr>
            <w:tr w14:paraId="0A0D8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539" w:type="dxa"/>
                  <w:vAlign w:val="center"/>
                </w:tcPr>
                <w:p w14:paraId="2BAB58B1">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3</w:t>
                  </w:r>
                </w:p>
              </w:tc>
              <w:tc>
                <w:tcPr>
                  <w:tcW w:w="1539" w:type="dxa"/>
                  <w:shd w:val="clear" w:color="auto" w:fill="auto"/>
                  <w:vAlign w:val="center"/>
                </w:tcPr>
                <w:p w14:paraId="18C9F10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lang w:val="en-US" w:eastAsia="zh-CN"/>
                    </w:rPr>
                    <w:t>水</w:t>
                  </w:r>
                </w:p>
              </w:tc>
              <w:tc>
                <w:tcPr>
                  <w:tcW w:w="1539" w:type="dxa"/>
                  <w:shd w:val="clear" w:color="auto" w:fill="auto"/>
                  <w:vAlign w:val="center"/>
                </w:tcPr>
                <w:p w14:paraId="07DFB0C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93.6m</w:t>
                  </w:r>
                  <w:r>
                    <w:rPr>
                      <w:rFonts w:hint="eastAsia" w:ascii="Times New Roman" w:hAnsi="Times New Roman" w:cs="Times New Roman"/>
                      <w:color w:val="auto"/>
                      <w:kern w:val="2"/>
                      <w:sz w:val="21"/>
                      <w:szCs w:val="24"/>
                      <w:vertAlign w:val="superscript"/>
                      <w:lang w:val="en-US" w:eastAsia="zh-CN" w:bidi="ar-SA"/>
                    </w:rPr>
                    <w:t>3</w:t>
                  </w:r>
                  <w:r>
                    <w:rPr>
                      <w:rFonts w:hint="eastAsia" w:ascii="Times New Roman" w:hAnsi="Times New Roman" w:cs="Times New Roman"/>
                      <w:color w:val="auto"/>
                      <w:kern w:val="2"/>
                      <w:sz w:val="21"/>
                      <w:szCs w:val="24"/>
                      <w:lang w:val="en-US" w:eastAsia="zh-CN" w:bidi="ar-SA"/>
                    </w:rPr>
                    <w:t>/a</w:t>
                  </w:r>
                </w:p>
              </w:tc>
              <w:tc>
                <w:tcPr>
                  <w:tcW w:w="1540" w:type="dxa"/>
                  <w:vMerge w:val="continue"/>
                  <w:vAlign w:val="center"/>
                </w:tcPr>
                <w:p w14:paraId="235AD857">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p>
              </w:tc>
              <w:tc>
                <w:tcPr>
                  <w:tcW w:w="1540" w:type="dxa"/>
                  <w:vMerge w:val="continue"/>
                  <w:vAlign w:val="center"/>
                </w:tcPr>
                <w:p w14:paraId="154BED67">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vertAlign w:val="baseline"/>
                      <w:lang w:val="en-US" w:eastAsia="zh-CN"/>
                    </w:rPr>
                  </w:pPr>
                </w:p>
              </w:tc>
            </w:tr>
          </w:tbl>
          <w:p w14:paraId="1EF17F96">
            <w:pPr>
              <w:pStyle w:val="21"/>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1"/>
                <w:szCs w:val="21"/>
                <w:lang w:val="en-US" w:eastAsia="zh-CN"/>
              </w:rPr>
            </w:pPr>
          </w:p>
          <w:p w14:paraId="74D763A6">
            <w:pPr>
              <w:keepNext w:val="0"/>
              <w:keepLines w:val="0"/>
              <w:widowControl/>
              <w:suppressLineNumbers w:val="0"/>
              <w:adjustRightInd w:val="0"/>
              <w:snapToGrid w:val="0"/>
              <w:spacing w:before="0" w:beforeAutospacing="0" w:after="0" w:afterAutospacing="0" w:line="360" w:lineRule="auto"/>
              <w:ind w:left="420" w:right="0"/>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劳动定员及工作制度</w:t>
            </w:r>
          </w:p>
          <w:p w14:paraId="040B9033">
            <w:pPr>
              <w:keepNext w:val="0"/>
              <w:keepLines w:val="0"/>
              <w:suppressLineNumbers w:val="0"/>
              <w:spacing w:before="24" w:beforeAutospacing="0" w:after="0" w:afterAutospacing="0" w:line="360" w:lineRule="auto"/>
              <w:ind w:left="0" w:right="0" w:firstLine="480" w:firstLineChars="200"/>
              <w:jc w:val="left"/>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本项目车间拟员工2</w:t>
            </w:r>
            <w:r>
              <w:rPr>
                <w:rFonts w:hint="default" w:ascii="Times New Roman" w:hAnsi="Times New Roman" w:cs="Times New Roman"/>
                <w:color w:val="auto"/>
                <w:sz w:val="24"/>
                <w:szCs w:val="24"/>
              </w:rPr>
              <w:t>人</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厂区内不设食宿</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年生产天数360天，每天工作时长8小时。</w:t>
            </w:r>
          </w:p>
          <w:p w14:paraId="70D2C977">
            <w:pPr>
              <w:keepNext w:val="0"/>
              <w:keepLines w:val="0"/>
              <w:widowControl/>
              <w:suppressLineNumbers w:val="0"/>
              <w:adjustRightInd w:val="0"/>
              <w:snapToGrid w:val="0"/>
              <w:spacing w:before="0" w:beforeAutospacing="0" w:after="0" w:afterAutospacing="0" w:line="360" w:lineRule="auto"/>
              <w:ind w:left="420" w:right="0"/>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厂区平面布置</w:t>
            </w:r>
          </w:p>
          <w:p w14:paraId="6A1EC6EE">
            <w:pPr>
              <w:keepNext w:val="0"/>
              <w:keepLines w:val="0"/>
              <w:suppressLineNumbers w:val="0"/>
              <w:spacing w:before="24" w:beforeAutospacing="0" w:after="0" w:afterAutospacing="0" w:line="360" w:lineRule="auto"/>
              <w:ind w:left="0" w:right="0" w:firstLine="480" w:firstLineChars="200"/>
              <w:jc w:val="left"/>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本项目整体布局呈不规则状，项目西南侧为办公生活区域，其余为堆场区。厂区地面均经过硬化处理。</w:t>
            </w:r>
          </w:p>
          <w:p w14:paraId="7FABB533">
            <w:pPr>
              <w:keepNext w:val="0"/>
              <w:keepLines w:val="0"/>
              <w:suppressLineNumbers w:val="0"/>
              <w:spacing w:before="24" w:beforeAutospacing="0" w:after="0" w:afterAutospacing="0" w:line="360" w:lineRule="auto"/>
              <w:ind w:left="0" w:right="0" w:firstLine="482" w:firstLineChars="200"/>
              <w:jc w:val="left"/>
              <w:rPr>
                <w:rFonts w:hint="eastAsia" w:ascii="Times New Roman" w:hAnsi="Times New Roman" w:cs="Times New Roman"/>
                <w:b/>
                <w:bCs/>
                <w:color w:val="auto"/>
                <w:sz w:val="24"/>
                <w:szCs w:val="24"/>
              </w:rPr>
            </w:pPr>
            <w:r>
              <w:rPr>
                <w:rFonts w:hint="eastAsia" w:ascii="Times New Roman" w:hAnsi="Times New Roman" w:cs="Times New Roman"/>
                <w:b/>
                <w:bCs/>
                <w:color w:val="auto"/>
                <w:sz w:val="24"/>
                <w:szCs w:val="24"/>
                <w:lang w:val="en-US" w:eastAsia="zh-CN"/>
              </w:rPr>
              <w:t>6、</w:t>
            </w:r>
            <w:r>
              <w:rPr>
                <w:rFonts w:hint="eastAsia" w:ascii="Times New Roman" w:hAnsi="Times New Roman" w:cs="Times New Roman"/>
                <w:b/>
                <w:bCs/>
                <w:color w:val="auto"/>
                <w:sz w:val="24"/>
                <w:szCs w:val="24"/>
              </w:rPr>
              <w:t>给</w:t>
            </w:r>
            <w:r>
              <w:rPr>
                <w:rFonts w:hint="eastAsia" w:ascii="Times New Roman" w:hAnsi="Times New Roman" w:cs="Times New Roman"/>
                <w:b/>
                <w:bCs/>
                <w:color w:val="auto"/>
                <w:sz w:val="24"/>
                <w:szCs w:val="24"/>
                <w:lang w:val="en-US" w:eastAsia="zh-CN"/>
              </w:rPr>
              <w:t>排</w:t>
            </w:r>
            <w:r>
              <w:rPr>
                <w:rFonts w:hint="eastAsia" w:ascii="Times New Roman" w:hAnsi="Times New Roman" w:cs="Times New Roman"/>
                <w:b/>
                <w:bCs/>
                <w:color w:val="auto"/>
                <w:sz w:val="24"/>
                <w:szCs w:val="24"/>
              </w:rPr>
              <w:t>水现状</w:t>
            </w:r>
          </w:p>
          <w:p w14:paraId="5028843C">
            <w:pPr>
              <w:keepNext w:val="0"/>
              <w:keepLines w:val="0"/>
              <w:suppressLineNumbers w:val="0"/>
              <w:spacing w:before="24" w:beforeAutospacing="0" w:after="0" w:afterAutospacing="0" w:line="360" w:lineRule="auto"/>
              <w:ind w:left="0" w:right="0" w:firstLine="480" w:firstLineChars="200"/>
              <w:jc w:val="left"/>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本项目用水主要为生活用水、车辆冲洗用水及水喷淋设施用水。其中生活用水由市政管网供应，其余为雨天雨水收集。</w:t>
            </w:r>
            <w:r>
              <w:rPr>
                <w:rFonts w:hint="eastAsia" w:ascii="Times New Roman" w:hAnsi="Times New Roman" w:cs="Times New Roman"/>
                <w:color w:val="auto"/>
                <w:sz w:val="24"/>
                <w:szCs w:val="24"/>
              </w:rPr>
              <w:t>生</w:t>
            </w:r>
            <w:r>
              <w:rPr>
                <w:rFonts w:hint="eastAsia" w:ascii="Times New Roman" w:hAnsi="Times New Roman" w:cs="Times New Roman"/>
                <w:color w:val="auto"/>
                <w:sz w:val="24"/>
                <w:szCs w:val="24"/>
                <w:lang w:val="en-US" w:eastAsia="zh-CN"/>
              </w:rPr>
              <w:t>活</w:t>
            </w:r>
            <w:r>
              <w:rPr>
                <w:rFonts w:hint="eastAsia" w:ascii="Times New Roman" w:hAnsi="Times New Roman" w:cs="Times New Roman"/>
                <w:color w:val="auto"/>
                <w:sz w:val="24"/>
                <w:szCs w:val="24"/>
              </w:rPr>
              <w:t>废水经</w:t>
            </w:r>
            <w:r>
              <w:rPr>
                <w:rFonts w:hint="eastAsia" w:ascii="Times New Roman" w:hAnsi="Times New Roman" w:cs="Times New Roman"/>
                <w:color w:val="auto"/>
                <w:sz w:val="24"/>
                <w:szCs w:val="24"/>
                <w:lang w:val="en-US" w:eastAsia="zh-CN"/>
              </w:rPr>
              <w:t>三级化粪池</w:t>
            </w:r>
            <w:r>
              <w:rPr>
                <w:rFonts w:hint="eastAsia" w:ascii="Times New Roman" w:hAnsi="Times New Roman" w:cs="Times New Roman"/>
                <w:color w:val="auto"/>
                <w:sz w:val="24"/>
                <w:szCs w:val="24"/>
              </w:rPr>
              <w:t>处理后</w:t>
            </w:r>
            <w:r>
              <w:rPr>
                <w:rFonts w:hint="eastAsia" w:ascii="Times New Roman" w:hAnsi="Times New Roman" w:cs="Times New Roman"/>
                <w:color w:val="auto"/>
                <w:sz w:val="24"/>
                <w:szCs w:val="24"/>
                <w:lang w:val="en-US" w:eastAsia="zh-CN"/>
              </w:rPr>
              <w:t>用于林地灌溉；水喷淋设施用水及车辆冲洗用水均循环使用，不外排</w:t>
            </w:r>
            <w:r>
              <w:rPr>
                <w:rFonts w:hint="eastAsia" w:ascii="Times New Roman" w:hAnsi="Times New Roman" w:cs="Times New Roman"/>
                <w:color w:val="auto"/>
                <w:sz w:val="24"/>
                <w:szCs w:val="24"/>
              </w:rPr>
              <w:t>。</w:t>
            </w:r>
            <w:r>
              <w:rPr>
                <w:rFonts w:hint="default" w:ascii="Times New Roman" w:hAnsi="Times New Roman" w:cs="Times New Roman" w:eastAsiaTheme="minorEastAsia"/>
                <w:color w:val="auto"/>
                <w:kern w:val="2"/>
                <w:sz w:val="21"/>
                <w:szCs w:val="24"/>
                <w:lang w:val="en-US" w:eastAsia="zh-CN" w:bidi="ar-SA"/>
              </w:rPr>
              <w:drawing>
                <wp:inline distT="0" distB="0" distL="114300" distR="114300">
                  <wp:extent cx="5093335" cy="1196975"/>
                  <wp:effectExtent l="0" t="0" r="0" b="0"/>
                  <wp:docPr id="102" name="ECB019B1-382A-4266-B25C-5B523AA43C14-1" descr="C:/Users/Admin/AppData/Local/Temp/wps.LhtNrx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ECB019B1-382A-4266-B25C-5B523AA43C14-1" descr="C:/Users/Admin/AppData/Local/Temp/wps.LhtNrxwps"/>
                          <pic:cNvPicPr>
                            <a:picLocks noChangeAspect="1"/>
                          </pic:cNvPicPr>
                        </pic:nvPicPr>
                        <pic:blipFill>
                          <a:blip r:embed="rId13"/>
                          <a:stretch>
                            <a:fillRect/>
                          </a:stretch>
                        </pic:blipFill>
                        <pic:spPr>
                          <a:xfrm>
                            <a:off x="0" y="0"/>
                            <a:ext cx="5093335" cy="1196975"/>
                          </a:xfrm>
                          <a:prstGeom prst="rect">
                            <a:avLst/>
                          </a:prstGeom>
                        </pic:spPr>
                      </pic:pic>
                    </a:graphicData>
                  </a:graphic>
                </wp:inline>
              </w:drawing>
            </w:r>
          </w:p>
          <w:p w14:paraId="622CA069">
            <w:pPr>
              <w:pStyle w:val="21"/>
              <w:keepNext w:val="0"/>
              <w:keepLines w:val="0"/>
              <w:suppressLineNumbers w:val="0"/>
              <w:spacing w:before="0" w:beforeAutospacing="0" w:after="0" w:afterAutospacing="0"/>
              <w:ind w:left="0" w:right="0"/>
              <w:jc w:val="center"/>
              <w:rPr>
                <w:rFonts w:hint="eastAsia"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图</w:t>
            </w:r>
            <w:r>
              <w:rPr>
                <w:rFonts w:hint="eastAsia" w:ascii="Times New Roman" w:hAnsi="Times New Roman" w:cs="Times New Roman"/>
                <w:b/>
                <w:bCs/>
                <w:color w:val="auto"/>
                <w:sz w:val="21"/>
                <w:szCs w:val="21"/>
                <w:lang w:val="en-US" w:eastAsia="zh-CN"/>
              </w:rPr>
              <w:t>2</w:t>
            </w:r>
            <w:r>
              <w:rPr>
                <w:rFonts w:hint="default" w:ascii="Times New Roman" w:hAnsi="Times New Roman" w:cs="Times New Roman"/>
                <w:b/>
                <w:bCs/>
                <w:color w:val="auto"/>
                <w:sz w:val="21"/>
                <w:szCs w:val="21"/>
                <w:lang w:val="en-US" w:eastAsia="zh-CN"/>
              </w:rPr>
              <w:t>-</w:t>
            </w:r>
            <w:r>
              <w:rPr>
                <w:rFonts w:hint="eastAsia" w:ascii="Times New Roman" w:hAnsi="Times New Roman" w:cs="Times New Roman"/>
                <w:b/>
                <w:bCs/>
                <w:color w:val="auto"/>
                <w:sz w:val="21"/>
                <w:szCs w:val="21"/>
                <w:lang w:val="en-US" w:eastAsia="zh-CN"/>
              </w:rPr>
              <w:t>2</w:t>
            </w:r>
            <w:r>
              <w:rPr>
                <w:rFonts w:hint="default" w:ascii="Times New Roman" w:hAnsi="Times New Roman" w:cs="Times New Roman"/>
                <w:b/>
                <w:bCs/>
                <w:color w:val="auto"/>
                <w:sz w:val="21"/>
                <w:szCs w:val="21"/>
                <w:lang w:val="en-US" w:eastAsia="zh-CN"/>
              </w:rPr>
              <w:t xml:space="preserve"> 项目水平衡图</w:t>
            </w:r>
          </w:p>
          <w:p w14:paraId="4DE2DF28">
            <w:pPr>
              <w:keepNext w:val="0"/>
              <w:keepLines w:val="0"/>
              <w:suppressLineNumbers w:val="0"/>
              <w:spacing w:before="24" w:beforeAutospacing="0" w:after="0" w:afterAutospacing="0" w:line="360" w:lineRule="auto"/>
              <w:ind w:left="0" w:right="0" w:firstLine="482" w:firstLineChars="200"/>
              <w:jc w:val="left"/>
              <w:rPr>
                <w:rFonts w:hint="default" w:ascii="Times New Roman" w:hAnsi="Times New Roman" w:cs="Times New Roman" w:eastAsiaTheme="minorEastAsia"/>
                <w:b/>
                <w:bCs/>
                <w:color w:val="auto"/>
                <w:sz w:val="24"/>
                <w:szCs w:val="24"/>
                <w:lang w:val="en-US" w:eastAsia="zh-CN"/>
              </w:rPr>
            </w:pPr>
            <w:r>
              <w:rPr>
                <w:rFonts w:hint="eastAsia" w:ascii="Times New Roman" w:hAnsi="Times New Roman" w:cs="Times New Roman"/>
                <w:b/>
                <w:bCs/>
                <w:color w:val="auto"/>
                <w:sz w:val="24"/>
                <w:szCs w:val="24"/>
                <w:lang w:val="en-US" w:eastAsia="zh-CN"/>
              </w:rPr>
              <w:t>6、供电</w:t>
            </w:r>
          </w:p>
          <w:p w14:paraId="7D68EDC5">
            <w:pPr>
              <w:keepNext w:val="0"/>
              <w:keepLines w:val="0"/>
              <w:suppressLineNumbers w:val="0"/>
              <w:spacing w:before="24" w:beforeAutospacing="0" w:after="0" w:afterAutospacing="0" w:line="360" w:lineRule="auto"/>
              <w:ind w:left="0" w:right="0" w:firstLine="480" w:firstLineChars="200"/>
              <w:jc w:val="left"/>
              <w:rPr>
                <w:rFonts w:hint="eastAsia"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依据业主方提供资料，</w:t>
            </w:r>
            <w:r>
              <w:rPr>
                <w:rFonts w:hint="eastAsia" w:ascii="Times New Roman" w:hAnsi="Times New Roman" w:cs="Times New Roman"/>
                <w:color w:val="auto"/>
                <w:sz w:val="24"/>
                <w:szCs w:val="24"/>
              </w:rPr>
              <w:t>电</w:t>
            </w:r>
            <w:r>
              <w:rPr>
                <w:rFonts w:hint="eastAsia" w:ascii="Times New Roman" w:hAnsi="Times New Roman" w:cs="Times New Roman"/>
                <w:color w:val="auto"/>
                <w:sz w:val="24"/>
                <w:szCs w:val="24"/>
                <w:lang w:val="en-US" w:eastAsia="zh-CN"/>
              </w:rPr>
              <w:t>力</w:t>
            </w:r>
            <w:r>
              <w:rPr>
                <w:rFonts w:hint="eastAsia" w:ascii="Times New Roman" w:hAnsi="Times New Roman" w:cs="Times New Roman"/>
                <w:color w:val="auto"/>
                <w:sz w:val="24"/>
                <w:szCs w:val="24"/>
              </w:rPr>
              <w:t>由市政电网供给，本项目全年耗电量为</w:t>
            </w:r>
            <w:r>
              <w:rPr>
                <w:rFonts w:hint="eastAsia" w:ascii="Times New Roman" w:hAnsi="Times New Roman" w:cs="Times New Roman"/>
                <w:color w:val="auto"/>
                <w:sz w:val="24"/>
                <w:szCs w:val="24"/>
                <w:lang w:val="en-US" w:eastAsia="zh-CN"/>
              </w:rPr>
              <w:t>138万</w:t>
            </w:r>
            <w:r>
              <w:rPr>
                <w:rFonts w:hint="eastAsia" w:ascii="Times New Roman" w:hAnsi="Times New Roman" w:cs="Times New Roman"/>
                <w:color w:val="auto"/>
                <w:sz w:val="24"/>
                <w:szCs w:val="24"/>
              </w:rPr>
              <w:t>KWH。根据规范，采用双电源供电。10KV 配电线路全部采用电缆，采用直埋敷设，采用放射式向企业供电。</w:t>
            </w:r>
          </w:p>
          <w:p w14:paraId="684EEE6F">
            <w:pPr>
              <w:keepNext w:val="0"/>
              <w:keepLines w:val="0"/>
              <w:suppressLineNumbers w:val="0"/>
              <w:spacing w:before="24" w:beforeAutospacing="0" w:after="0" w:afterAutospacing="0" w:line="360" w:lineRule="auto"/>
              <w:ind w:left="0" w:right="0" w:firstLine="482" w:firstLineChars="200"/>
              <w:jc w:val="left"/>
              <w:rPr>
                <w:rFonts w:hint="eastAsia" w:ascii="Times New Roman" w:hAnsi="Times New Roman" w:cs="Times New Roman"/>
                <w:b/>
                <w:bCs/>
                <w:color w:val="auto"/>
                <w:sz w:val="24"/>
                <w:szCs w:val="24"/>
              </w:rPr>
            </w:pPr>
            <w:r>
              <w:rPr>
                <w:rFonts w:hint="eastAsia" w:ascii="Times New Roman" w:hAnsi="Times New Roman" w:cs="Times New Roman"/>
                <w:b/>
                <w:bCs/>
                <w:color w:val="auto"/>
                <w:sz w:val="24"/>
                <w:szCs w:val="24"/>
                <w:lang w:val="en-US" w:eastAsia="zh-CN"/>
              </w:rPr>
              <w:t>6、</w:t>
            </w:r>
            <w:r>
              <w:rPr>
                <w:rFonts w:hint="eastAsia" w:ascii="Times New Roman" w:hAnsi="Times New Roman" w:cs="Times New Roman"/>
                <w:b/>
                <w:bCs/>
                <w:color w:val="auto"/>
                <w:sz w:val="24"/>
                <w:szCs w:val="24"/>
              </w:rPr>
              <w:t>厂区道路</w:t>
            </w:r>
          </w:p>
          <w:p w14:paraId="21DC8E6C">
            <w:pPr>
              <w:pStyle w:val="42"/>
              <w:keepNext w:val="0"/>
              <w:keepLines w:val="0"/>
              <w:suppressLineNumbers w:val="0"/>
              <w:spacing w:before="0" w:beforeAutospacing="0" w:after="0" w:afterAutospacing="0" w:line="360" w:lineRule="auto"/>
              <w:ind w:left="0" w:right="0" w:firstLine="480" w:firstLineChars="200"/>
              <w:rPr>
                <w:rFonts w:hint="default"/>
                <w:color w:val="auto"/>
                <w:lang w:val="en-US" w:eastAsia="zh-CN"/>
              </w:rPr>
            </w:pPr>
            <w:r>
              <w:rPr>
                <w:rFonts w:hint="eastAsia" w:ascii="Times New Roman" w:hAnsi="Times New Roman" w:cs="Times New Roman" w:eastAsiaTheme="minorEastAsia"/>
                <w:color w:val="auto"/>
                <w:kern w:val="2"/>
                <w:sz w:val="24"/>
                <w:szCs w:val="24"/>
                <w:lang w:val="en-US" w:eastAsia="zh-CN" w:bidi="ar-SA"/>
              </w:rPr>
              <w:t>厂区内地势平坦，道路布置为棋盘式布局，厂房四周道路环通，满足运输及消防要求:道路采用城市型，环形道路宽为 10m，转弯半径为 16m，原料运输及成品运输均采用穿跨</w:t>
            </w:r>
            <w:r>
              <w:rPr>
                <w:rFonts w:hint="eastAsia" w:ascii="Times New Roman" w:hAnsi="Times New Roman" w:cs="Times New Roman"/>
                <w:color w:val="auto"/>
                <w:kern w:val="2"/>
                <w:sz w:val="24"/>
                <w:szCs w:val="24"/>
                <w:lang w:val="en-US" w:eastAsia="zh-CN" w:bidi="ar-SA"/>
              </w:rPr>
              <w:t>。</w:t>
            </w:r>
          </w:p>
        </w:tc>
      </w:tr>
      <w:tr w14:paraId="00391A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823" w:type="dxa"/>
            <w:vAlign w:val="center"/>
          </w:tcPr>
          <w:p w14:paraId="3A1DFEC1">
            <w:pPr>
              <w:pStyle w:val="31"/>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bCs/>
                <w:color w:val="auto"/>
                <w:kern w:val="2"/>
                <w:sz w:val="24"/>
                <w:szCs w:val="24"/>
                <w:lang w:val="en-US" w:eastAsia="zh-CN"/>
              </w:rPr>
              <w:t>工艺流程和产排污环节</w:t>
            </w:r>
          </w:p>
        </w:tc>
        <w:tc>
          <w:tcPr>
            <w:tcW w:w="8161" w:type="dxa"/>
            <w:vAlign w:val="center"/>
          </w:tcPr>
          <w:p w14:paraId="27052CAB">
            <w:pPr>
              <w:keepNext w:val="0"/>
              <w:keepLines w:val="0"/>
              <w:widowControl/>
              <w:suppressLineNumbers w:val="0"/>
              <w:spacing w:before="0" w:beforeAutospacing="0" w:after="0" w:afterAutospacing="0" w:line="360" w:lineRule="auto"/>
              <w:ind w:left="0" w:right="0"/>
              <w:rPr>
                <w:rFonts w:hint="default" w:cs="Times New Roman"/>
                <w:b/>
                <w:bCs/>
                <w:color w:val="auto"/>
                <w:kern w:val="21"/>
                <w:sz w:val="24"/>
                <w:szCs w:val="24"/>
                <w:lang w:bidi="zh-CN"/>
              </w:rPr>
            </w:pPr>
            <w:r>
              <w:rPr>
                <w:rFonts w:hint="eastAsia" w:cs="Times New Roman"/>
                <w:b/>
                <w:bCs/>
                <w:color w:val="auto"/>
                <w:sz w:val="24"/>
                <w:szCs w:val="24"/>
              </w:rPr>
              <w:t>一、</w:t>
            </w:r>
            <w:r>
              <w:rPr>
                <w:rFonts w:hint="default" w:cs="Times New Roman"/>
                <w:b/>
                <w:bCs/>
                <w:color w:val="auto"/>
                <w:sz w:val="24"/>
                <w:szCs w:val="24"/>
              </w:rPr>
              <w:t>工</w:t>
            </w:r>
            <w:r>
              <w:rPr>
                <w:rFonts w:hint="default" w:cs="Times New Roman"/>
                <w:b/>
                <w:bCs/>
                <w:color w:val="auto"/>
                <w:kern w:val="21"/>
                <w:sz w:val="24"/>
                <w:szCs w:val="24"/>
                <w:lang w:bidi="zh-CN"/>
              </w:rPr>
              <w:t>艺流程简述</w:t>
            </w:r>
          </w:p>
          <w:p w14:paraId="42E0C90D">
            <w:pPr>
              <w:keepNext w:val="0"/>
              <w:keepLines w:val="0"/>
              <w:widowControl/>
              <w:suppressLineNumbers w:val="0"/>
              <w:spacing w:before="0" w:beforeAutospacing="0" w:after="0" w:afterAutospacing="0" w:line="360" w:lineRule="auto"/>
              <w:ind w:left="0" w:right="0" w:firstLine="482" w:firstLineChars="200"/>
              <w:rPr>
                <w:rFonts w:hint="default" w:cs="Times New Roman"/>
                <w:b/>
                <w:bCs/>
                <w:color w:val="auto"/>
                <w:kern w:val="21"/>
                <w:sz w:val="24"/>
                <w:szCs w:val="24"/>
                <w:lang w:val="en-US" w:bidi="zh-CN"/>
              </w:rPr>
            </w:pPr>
            <w:r>
              <w:rPr>
                <w:rFonts w:hint="eastAsia" w:ascii="Times New Roman" w:hAnsi="Times New Roman" w:cs="Times New Roman"/>
                <w:b/>
                <w:bCs/>
                <w:color w:val="auto"/>
                <w:kern w:val="21"/>
                <w:sz w:val="24"/>
                <w:szCs w:val="24"/>
                <w:lang w:bidi="zh-CN"/>
              </w:rPr>
              <w:t>1</w:t>
            </w:r>
            <w:r>
              <w:rPr>
                <w:rFonts w:hint="eastAsia" w:cs="Times New Roman"/>
                <w:b/>
                <w:bCs/>
                <w:color w:val="auto"/>
                <w:kern w:val="21"/>
                <w:sz w:val="24"/>
                <w:szCs w:val="24"/>
                <w:lang w:bidi="zh-CN"/>
              </w:rPr>
              <w:t>、</w:t>
            </w:r>
            <w:r>
              <w:rPr>
                <w:rFonts w:hint="default" w:cs="Times New Roman"/>
                <w:b/>
                <w:bCs/>
                <w:color w:val="auto"/>
                <w:kern w:val="21"/>
                <w:sz w:val="24"/>
                <w:szCs w:val="24"/>
                <w:lang w:bidi="zh-CN"/>
              </w:rPr>
              <w:t>施工期</w:t>
            </w:r>
            <w:r>
              <w:rPr>
                <w:rFonts w:hint="eastAsia" w:cs="Times New Roman"/>
                <w:b/>
                <w:bCs/>
                <w:color w:val="auto"/>
                <w:kern w:val="21"/>
                <w:sz w:val="24"/>
                <w:szCs w:val="24"/>
                <w:lang w:val="en-US" w:bidi="zh-CN"/>
              </w:rPr>
              <w:t>工艺流程</w:t>
            </w:r>
          </w:p>
          <w:p w14:paraId="61F1D208">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b w:val="0"/>
                <w:bCs w:val="0"/>
                <w:color w:val="auto"/>
                <w:kern w:val="21"/>
                <w:sz w:val="24"/>
                <w:szCs w:val="24"/>
                <w:lang w:val="en-US" w:bidi="zh-CN"/>
              </w:rPr>
            </w:pPr>
            <w:r>
              <w:rPr>
                <w:rFonts w:hint="eastAsia" w:ascii="Times New Roman" w:hAnsi="Times New Roman" w:cs="Times New Roman"/>
                <w:b w:val="0"/>
                <w:bCs w:val="0"/>
                <w:color w:val="auto"/>
                <w:kern w:val="21"/>
                <w:sz w:val="24"/>
                <w:szCs w:val="24"/>
                <w:lang w:val="en-US" w:bidi="zh-CN"/>
              </w:rPr>
              <w:t>本项目为租赁他人现有厂房进行生产作业，不存在在建工程，无施工期工艺流程。</w:t>
            </w:r>
          </w:p>
          <w:p w14:paraId="74C4BCDE">
            <w:pPr>
              <w:keepNext w:val="0"/>
              <w:keepLines w:val="0"/>
              <w:widowControl/>
              <w:suppressLineNumbers w:val="0"/>
              <w:spacing w:before="0" w:beforeAutospacing="0" w:after="0" w:afterAutospacing="0" w:line="360" w:lineRule="auto"/>
              <w:ind w:left="0" w:right="0" w:firstLine="482" w:firstLineChars="200"/>
              <w:rPr>
                <w:rFonts w:hint="eastAsia" w:cs="Times New Roman"/>
                <w:b/>
                <w:bCs/>
                <w:color w:val="auto"/>
                <w:kern w:val="21"/>
                <w:sz w:val="24"/>
                <w:szCs w:val="24"/>
                <w:lang w:val="en-US" w:bidi="zh-CN"/>
              </w:rPr>
            </w:pPr>
            <w:r>
              <w:rPr>
                <w:rFonts w:hint="default" w:ascii="Times New Roman" w:hAnsi="Times New Roman" w:cs="Times New Roman" w:eastAsiaTheme="minorEastAsia"/>
                <w:b/>
                <w:bCs/>
                <w:color w:val="auto"/>
                <w:kern w:val="21"/>
                <w:sz w:val="24"/>
                <w:szCs w:val="24"/>
                <w:lang w:val="en-US" w:eastAsia="zh-CN" w:bidi="zh-CN"/>
              </w:rPr>
              <w:t>2、</w:t>
            </w:r>
            <w:r>
              <w:rPr>
                <w:rFonts w:hint="default" w:cs="Times New Roman"/>
                <w:b/>
                <w:bCs/>
                <w:color w:val="auto"/>
                <w:kern w:val="21"/>
                <w:sz w:val="24"/>
                <w:szCs w:val="24"/>
                <w:lang w:bidi="zh-CN"/>
              </w:rPr>
              <w:t>营运期</w:t>
            </w:r>
            <w:r>
              <w:rPr>
                <w:rFonts w:hint="eastAsia" w:cs="Times New Roman"/>
                <w:b/>
                <w:bCs/>
                <w:color w:val="auto"/>
                <w:kern w:val="21"/>
                <w:sz w:val="24"/>
                <w:szCs w:val="24"/>
                <w:lang w:val="en-US" w:bidi="zh-CN"/>
              </w:rPr>
              <w:t>工艺流程</w:t>
            </w:r>
          </w:p>
          <w:p w14:paraId="415F0B08">
            <w:pPr>
              <w:pStyle w:val="54"/>
              <w:keepNext w:val="0"/>
              <w:keepLines w:val="0"/>
              <w:suppressLineNumbers w:val="0"/>
              <w:spacing w:before="16" w:beforeAutospacing="0" w:after="0" w:afterAutospacing="0" w:line="360" w:lineRule="auto"/>
              <w:ind w:left="0" w:right="-23"/>
              <w:jc w:val="both"/>
              <w:rPr>
                <w:rFonts w:hint="eastAsia" w:cs="Times New Roman"/>
                <w:color w:val="auto"/>
                <w:kern w:val="21"/>
                <w:sz w:val="21"/>
                <w:szCs w:val="21"/>
                <w:lang w:val="en-US" w:bidi="zh-CN"/>
              </w:rPr>
            </w:pPr>
            <w:r>
              <w:rPr>
                <w:rFonts w:hint="eastAsia" w:cs="Times New Roman"/>
                <w:color w:val="auto"/>
                <w:kern w:val="21"/>
                <w:sz w:val="21"/>
                <w:szCs w:val="21"/>
                <w:lang w:val="en-US" w:bidi="zh-CN"/>
              </w:rPr>
              <w:drawing>
                <wp:inline distT="0" distB="0" distL="114300" distR="114300">
                  <wp:extent cx="5127625" cy="1632585"/>
                  <wp:effectExtent l="0" t="0" r="0" b="0"/>
                  <wp:docPr id="3" name="ECB019B1-382A-4266-B25C-5B523AA43C14-2" descr="C:/Users/Admin/AppData/Local/Temp/wps.LeJikP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2" descr="C:/Users/Admin/AppData/Local/Temp/wps.LeJikPwps"/>
                          <pic:cNvPicPr>
                            <a:picLocks noChangeAspect="1"/>
                          </pic:cNvPicPr>
                        </pic:nvPicPr>
                        <pic:blipFill>
                          <a:blip r:embed="rId14"/>
                          <a:stretch>
                            <a:fillRect/>
                          </a:stretch>
                        </pic:blipFill>
                        <pic:spPr>
                          <a:xfrm>
                            <a:off x="0" y="0"/>
                            <a:ext cx="5127625" cy="1632585"/>
                          </a:xfrm>
                          <a:prstGeom prst="rect">
                            <a:avLst/>
                          </a:prstGeom>
                        </pic:spPr>
                      </pic:pic>
                    </a:graphicData>
                  </a:graphic>
                </wp:inline>
              </w:drawing>
            </w:r>
          </w:p>
          <w:p w14:paraId="27216EE2">
            <w:pPr>
              <w:pStyle w:val="54"/>
              <w:keepNext w:val="0"/>
              <w:keepLines w:val="0"/>
              <w:suppressLineNumbers w:val="0"/>
              <w:spacing w:before="16" w:beforeAutospacing="0" w:after="0" w:afterAutospacing="0" w:line="360" w:lineRule="auto"/>
              <w:ind w:left="0" w:right="-23" w:firstLine="422" w:firstLineChars="200"/>
              <w:jc w:val="center"/>
              <w:rPr>
                <w:rFonts w:hint="eastAsia" w:cs="Times New Roman"/>
                <w:b/>
                <w:bCs/>
                <w:color w:val="auto"/>
                <w:kern w:val="21"/>
                <w:sz w:val="21"/>
                <w:szCs w:val="21"/>
                <w:lang w:val="en-US" w:bidi="zh-CN"/>
              </w:rPr>
            </w:pPr>
            <w:r>
              <w:rPr>
                <w:rFonts w:hint="eastAsia" w:cs="Times New Roman"/>
                <w:b/>
                <w:bCs/>
                <w:color w:val="auto"/>
                <w:kern w:val="21"/>
                <w:sz w:val="21"/>
                <w:szCs w:val="21"/>
                <w:lang w:val="en-US" w:bidi="zh-CN"/>
              </w:rPr>
              <w:t>图</w:t>
            </w:r>
            <w:r>
              <w:rPr>
                <w:rFonts w:hint="eastAsia" w:ascii="Times New Roman" w:hAnsi="Times New Roman" w:cs="Times New Roman" w:eastAsiaTheme="minorEastAsia"/>
                <w:b/>
                <w:bCs/>
                <w:snapToGrid w:val="0"/>
                <w:color w:val="auto"/>
                <w:spacing w:val="-4"/>
                <w:kern w:val="2"/>
                <w:sz w:val="21"/>
                <w:szCs w:val="24"/>
                <w:lang w:val="en-US" w:eastAsia="zh-CN" w:bidi="ar-SA"/>
              </w:rPr>
              <w:t>2.</w:t>
            </w:r>
            <w:r>
              <w:rPr>
                <w:rFonts w:hint="eastAsia" w:ascii="Times New Roman" w:hAnsi="Times New Roman" w:cs="Times New Roman"/>
                <w:b/>
                <w:bCs/>
                <w:snapToGrid w:val="0"/>
                <w:color w:val="auto"/>
                <w:spacing w:val="-4"/>
                <w:kern w:val="2"/>
                <w:sz w:val="21"/>
                <w:szCs w:val="24"/>
                <w:lang w:val="en-US" w:eastAsia="zh-CN" w:bidi="ar-SA"/>
              </w:rPr>
              <w:t>3</w:t>
            </w:r>
            <w:r>
              <w:rPr>
                <w:rFonts w:hint="eastAsia" w:ascii="Times New Roman" w:hAnsi="Times New Roman" w:cs="Times New Roman" w:eastAsiaTheme="minorEastAsia"/>
                <w:b/>
                <w:bCs/>
                <w:snapToGrid w:val="0"/>
                <w:color w:val="auto"/>
                <w:spacing w:val="-4"/>
                <w:kern w:val="2"/>
                <w:sz w:val="21"/>
                <w:szCs w:val="24"/>
                <w:lang w:val="en-US" w:eastAsia="zh-CN" w:bidi="ar-SA"/>
              </w:rPr>
              <w:t xml:space="preserve"> </w:t>
            </w:r>
            <w:r>
              <w:rPr>
                <w:rFonts w:hint="eastAsia" w:cs="Times New Roman"/>
                <w:b/>
                <w:bCs/>
                <w:color w:val="auto"/>
                <w:kern w:val="21"/>
                <w:sz w:val="21"/>
                <w:szCs w:val="21"/>
                <w:lang w:val="en-US" w:bidi="zh-CN"/>
              </w:rPr>
              <w:t>项目运营期工艺流程及产污环节示意图</w:t>
            </w:r>
          </w:p>
          <w:p w14:paraId="38B48D8C">
            <w:pPr>
              <w:pStyle w:val="54"/>
              <w:keepNext w:val="0"/>
              <w:keepLines w:val="0"/>
              <w:numPr>
                <w:ilvl w:val="0"/>
                <w:numId w:val="3"/>
              </w:numPr>
              <w:suppressLineNumbers w:val="0"/>
              <w:spacing w:before="16" w:beforeAutospacing="0" w:after="0" w:afterAutospacing="0" w:line="360" w:lineRule="auto"/>
              <w:ind w:left="0" w:right="-23" w:firstLine="480" w:firstLineChars="200"/>
              <w:jc w:val="both"/>
              <w:rPr>
                <w:rFonts w:hint="eastAsia" w:ascii="Times New Roman" w:hAnsi="Times New Roman" w:cs="Times New Roman"/>
                <w:color w:val="auto"/>
                <w:sz w:val="24"/>
                <w:szCs w:val="24"/>
                <w:lang w:val="en-US" w:eastAsia="zh-CN"/>
              </w:rPr>
            </w:pPr>
            <w:r>
              <w:rPr>
                <w:rFonts w:hint="eastAsia" w:cs="Times New Roman"/>
                <w:color w:val="auto"/>
                <w:kern w:val="21"/>
                <w:sz w:val="24"/>
                <w:szCs w:val="24"/>
                <w:lang w:val="en-US" w:bidi="zh-CN"/>
              </w:rPr>
              <w:t>废水：项目生产过程中的</w:t>
            </w:r>
            <w:r>
              <w:rPr>
                <w:rFonts w:hint="eastAsia" w:ascii="Times New Roman" w:hAnsi="Times New Roman" w:cs="Times New Roman"/>
                <w:color w:val="auto"/>
                <w:sz w:val="24"/>
                <w:szCs w:val="24"/>
                <w:lang w:val="en-US" w:eastAsia="zh-CN"/>
              </w:rPr>
              <w:t>车辆冲洗用水及水喷淋设施用水经沉淀后回用于车辆冲洗；生活废水经三级化粪池处理后用于林地灌溉。</w:t>
            </w:r>
          </w:p>
          <w:p w14:paraId="28E9D73E">
            <w:pPr>
              <w:pStyle w:val="54"/>
              <w:keepNext w:val="0"/>
              <w:keepLines w:val="0"/>
              <w:numPr>
                <w:ilvl w:val="0"/>
                <w:numId w:val="3"/>
              </w:numPr>
              <w:suppressLineNumbers w:val="0"/>
              <w:spacing w:before="16" w:beforeAutospacing="0" w:after="0" w:afterAutospacing="0" w:line="360" w:lineRule="auto"/>
              <w:ind w:left="0" w:right="-23"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废气：生产废气主要为装卸、堆场及外运时产生的扬尘。</w:t>
            </w:r>
          </w:p>
          <w:p w14:paraId="0ACCB485">
            <w:pPr>
              <w:pStyle w:val="54"/>
              <w:keepNext w:val="0"/>
              <w:keepLines w:val="0"/>
              <w:numPr>
                <w:ilvl w:val="0"/>
                <w:numId w:val="3"/>
              </w:numPr>
              <w:suppressLineNumbers w:val="0"/>
              <w:spacing w:before="16" w:beforeAutospacing="0" w:after="0" w:afterAutospacing="0" w:line="360" w:lineRule="auto"/>
              <w:ind w:left="0" w:right="-23"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噪声：装卸及外运时运输车辆释放的噪声。</w:t>
            </w:r>
          </w:p>
          <w:p w14:paraId="0FDF0573">
            <w:pPr>
              <w:pStyle w:val="54"/>
              <w:keepNext w:val="0"/>
              <w:keepLines w:val="0"/>
              <w:numPr>
                <w:ilvl w:val="0"/>
                <w:numId w:val="3"/>
              </w:numPr>
              <w:suppressLineNumbers w:val="0"/>
              <w:spacing w:before="16" w:beforeAutospacing="0" w:after="0" w:afterAutospacing="0" w:line="360" w:lineRule="auto"/>
              <w:ind w:left="0" w:right="-23" w:firstLine="480" w:firstLineChars="200"/>
              <w:jc w:val="both"/>
              <w:rPr>
                <w:rFonts w:hint="default"/>
                <w:color w:val="auto"/>
              </w:rPr>
            </w:pPr>
            <w:r>
              <w:rPr>
                <w:rFonts w:hint="eastAsia" w:ascii="Times New Roman" w:hAnsi="Times New Roman" w:cs="Times New Roman"/>
                <w:color w:val="auto"/>
                <w:sz w:val="24"/>
                <w:szCs w:val="24"/>
                <w:lang w:val="en-US" w:eastAsia="zh-CN"/>
              </w:rPr>
              <w:t>固体废物：员工生活垃圾。</w:t>
            </w:r>
          </w:p>
        </w:tc>
      </w:tr>
      <w:tr w14:paraId="131984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823" w:type="dxa"/>
            <w:vAlign w:val="center"/>
          </w:tcPr>
          <w:p w14:paraId="23B3F5FE">
            <w:pPr>
              <w:pStyle w:val="31"/>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kern w:val="2"/>
                <w:sz w:val="24"/>
                <w:szCs w:val="24"/>
              </w:rPr>
              <w:t>与项目有关的原有环境污染问题</w:t>
            </w:r>
          </w:p>
        </w:tc>
        <w:tc>
          <w:tcPr>
            <w:tcW w:w="8161" w:type="dxa"/>
            <w:vAlign w:val="center"/>
          </w:tcPr>
          <w:p w14:paraId="733E32F6">
            <w:pPr>
              <w:pStyle w:val="54"/>
              <w:keepNext w:val="0"/>
              <w:keepLines w:val="0"/>
              <w:numPr>
                <w:ilvl w:val="0"/>
                <w:numId w:val="0"/>
              </w:numPr>
              <w:suppressLineNumbers w:val="0"/>
              <w:spacing w:before="16" w:beforeAutospacing="0" w:after="0" w:afterAutospacing="0" w:line="360" w:lineRule="auto"/>
              <w:ind w:left="420" w:leftChars="200" w:right="-23" w:rightChars="0"/>
              <w:jc w:val="both"/>
              <w:rPr>
                <w:rFonts w:hint="default"/>
                <w:color w:val="auto"/>
                <w:lang w:val="en-US" w:eastAsia="zh-CN"/>
              </w:rPr>
            </w:pPr>
            <w:r>
              <w:rPr>
                <w:rFonts w:hint="eastAsia" w:cs="Times New Roman"/>
                <w:color w:val="auto"/>
                <w:kern w:val="21"/>
                <w:sz w:val="24"/>
                <w:szCs w:val="24"/>
                <w:lang w:val="en-US" w:eastAsia="zh-CN" w:bidi="zh-CN"/>
              </w:rPr>
              <w:t>本项目为新建项目，不存在原有污染情况。</w:t>
            </w:r>
          </w:p>
        </w:tc>
      </w:tr>
    </w:tbl>
    <w:p w14:paraId="4DF799C4">
      <w:pPr>
        <w:pStyle w:val="31"/>
        <w:jc w:val="center"/>
        <w:rPr>
          <w:rFonts w:hint="default" w:ascii="Times New Roman" w:hAnsi="Times New Roman" w:eastAsia="宋体" w:cs="Times New Roman"/>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32875D74">
      <w:pPr>
        <w:pStyle w:val="31"/>
        <w:adjustRightInd w:val="0"/>
        <w:snapToGrid w:val="0"/>
        <w:spacing w:before="0" w:beforeAutospacing="0" w:after="0" w:afterAutospacing="0" w:line="14" w:lineRule="auto"/>
        <w:jc w:val="both"/>
        <w:outlineLvl w:val="0"/>
        <w:rPr>
          <w:rFonts w:hint="default" w:ascii="Times New Roman" w:hAnsi="Times New Roman" w:eastAsia="宋体" w:cs="Times New Roman"/>
          <w:snapToGrid w:val="0"/>
          <w:color w:val="auto"/>
          <w:sz w:val="30"/>
          <w:szCs w:val="30"/>
        </w:rPr>
      </w:pPr>
    </w:p>
    <w:p w14:paraId="0437A6E2">
      <w:pPr>
        <w:pStyle w:val="31"/>
        <w:keepNext w:val="0"/>
        <w:keepLines w:val="0"/>
        <w:pageBreakBefore w:val="0"/>
        <w:widowControl/>
        <w:kinsoku/>
        <w:wordWrap/>
        <w:overflowPunct/>
        <w:topLinePunct w:val="0"/>
        <w:autoSpaceDE/>
        <w:autoSpaceDN/>
        <w:bidi w:val="0"/>
        <w:adjustRightInd/>
        <w:snapToGrid/>
        <w:jc w:val="center"/>
        <w:textAlignment w:val="auto"/>
        <w:outlineLvl w:val="0"/>
        <w:rPr>
          <w:rFonts w:hint="default" w:ascii="Times New Roman" w:hAnsi="Times New Roman" w:eastAsia="宋体" w:cs="Times New Roman"/>
          <w:snapToGrid w:val="0"/>
          <w:color w:val="auto"/>
          <w:sz w:val="30"/>
          <w:szCs w:val="30"/>
        </w:rPr>
      </w:pPr>
      <w:bookmarkStart w:id="15" w:name="_Toc30771"/>
      <w:bookmarkStart w:id="16" w:name="_Toc19913"/>
      <w:r>
        <w:rPr>
          <w:rFonts w:hint="default" w:ascii="Times New Roman" w:hAnsi="Times New Roman" w:eastAsia="宋体" w:cs="Times New Roman"/>
          <w:snapToGrid w:val="0"/>
          <w:color w:val="auto"/>
          <w:sz w:val="30"/>
          <w:szCs w:val="30"/>
        </w:rPr>
        <w:t>三、区域环境质量现状、环境保护目标及评价标准</w:t>
      </w:r>
      <w:bookmarkEnd w:id="15"/>
      <w:bookmarkEnd w:id="16"/>
    </w:p>
    <w:tbl>
      <w:tblPr>
        <w:tblStyle w:val="35"/>
        <w:tblW w:w="905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3"/>
        <w:gridCol w:w="8636"/>
      </w:tblGrid>
      <w:tr w14:paraId="7F282C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68" w:hRule="atLeast"/>
          <w:jc w:val="center"/>
        </w:trPr>
        <w:tc>
          <w:tcPr>
            <w:tcW w:w="423" w:type="dxa"/>
            <w:vAlign w:val="center"/>
          </w:tcPr>
          <w:p w14:paraId="739C00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区域</w:t>
            </w:r>
          </w:p>
          <w:p w14:paraId="70A628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环境</w:t>
            </w:r>
          </w:p>
          <w:p w14:paraId="4020E5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质量</w:t>
            </w:r>
          </w:p>
          <w:p w14:paraId="1657C3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 w:val="24"/>
                <w:szCs w:val="24"/>
              </w:rPr>
              <w:t>现状</w:t>
            </w:r>
          </w:p>
        </w:tc>
        <w:tc>
          <w:tcPr>
            <w:tcW w:w="8636" w:type="dxa"/>
            <w:vAlign w:val="center"/>
          </w:tcPr>
          <w:p w14:paraId="630F0BC4">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1、大气环境</w:t>
            </w:r>
          </w:p>
          <w:p w14:paraId="4BFBB3D2">
            <w:pPr>
              <w:pStyle w:val="53"/>
              <w:keepNext w:val="0"/>
              <w:keepLines w:val="0"/>
              <w:suppressLineNumbers w:val="0"/>
              <w:spacing w:before="0" w:beforeAutospacing="0" w:after="0" w:afterAutospacing="0"/>
              <w:ind w:left="0" w:right="0" w:firstLine="422"/>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（1）基本污染物环境现状</w:t>
            </w:r>
          </w:p>
          <w:p w14:paraId="46BB723F">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根据《关于印发湛江市区环境空气质量功能区划的通知》（湛环〔2011〕457号），本项目环境空气评价范围内均属于环境空气质量二类功能区，执行《环境空气质量标准》（GB3095-2012）</w:t>
            </w:r>
            <w:r>
              <w:rPr>
                <w:rFonts w:hint="eastAsia" w:ascii="Times New Roman" w:hAnsi="Times New Roman" w:eastAsia="宋体" w:cs="Times New Roman"/>
                <w:color w:val="auto"/>
                <w:sz w:val="24"/>
                <w:szCs w:val="24"/>
                <w:lang w:val="en-US" w:eastAsia="zh-CN"/>
              </w:rPr>
              <w:t>及其修改单</w:t>
            </w:r>
            <w:r>
              <w:rPr>
                <w:rFonts w:hint="default" w:ascii="Times New Roman" w:hAnsi="Times New Roman" w:eastAsia="宋体" w:cs="Times New Roman"/>
                <w:color w:val="auto"/>
                <w:sz w:val="24"/>
                <w:szCs w:val="24"/>
              </w:rPr>
              <w:t>中的二级标准。</w:t>
            </w:r>
          </w:p>
          <w:p w14:paraId="11DC3394">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根据《湛江市生态环境质量年报简报（202</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年）》，网址：https://www.zhanjiang.gov.cn/zjsfw/bmdh/sthjj/zwgk/hbdt/content/post_1891237.html。2023年湛江市空气质量为优的天数有229天，良的天数126天，轻度污染天数10天，优良率97.3%。</w:t>
            </w:r>
          </w:p>
          <w:p w14:paraId="7F3A4121">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2023年，湛江市二氧化硫、二氧化氮年浓度值分别为8</w:t>
            </w:r>
            <w:r>
              <w:rPr>
                <w:rFonts w:hint="eastAsia" w:ascii="Times New Roman" w:hAnsi="Times New Roman" w:eastAsia="宋体" w:cs="Times New Roman"/>
                <w:color w:val="auto"/>
                <w:sz w:val="24"/>
                <w:szCs w:val="24"/>
                <w:lang w:val="en-US" w:eastAsia="zh-CN"/>
              </w:rPr>
              <w:t>u</w:t>
            </w:r>
            <w:r>
              <w:rPr>
                <w:rFonts w:hint="default" w:ascii="Times New Roman" w:hAnsi="Times New Roman" w:eastAsia="宋体" w:cs="Times New Roman"/>
                <w:color w:val="auto"/>
                <w:sz w:val="24"/>
                <w:szCs w:val="24"/>
              </w:rPr>
              <w:t>g/m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12ug/m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rPr>
              <w:t>，PM</w:t>
            </w:r>
            <w:r>
              <w:rPr>
                <w:rFonts w:hint="eastAsia" w:ascii="Times New Roman" w:hAnsi="Times New Roman" w:eastAsia="宋体" w:cs="Times New Roman"/>
                <w:color w:val="auto"/>
                <w:sz w:val="24"/>
                <w:szCs w:val="24"/>
                <w:vertAlign w:val="subscript"/>
                <w:lang w:val="en-US" w:eastAsia="zh-CN"/>
              </w:rPr>
              <w:t>10</w:t>
            </w:r>
            <w:r>
              <w:rPr>
                <w:rFonts w:hint="default" w:ascii="Times New Roman" w:hAnsi="Times New Roman" w:eastAsia="宋体" w:cs="Times New Roman"/>
                <w:color w:val="auto"/>
                <w:sz w:val="24"/>
                <w:szCs w:val="24"/>
              </w:rPr>
              <w:t>年浓度值为33</w:t>
            </w:r>
            <w:r>
              <w:rPr>
                <w:rFonts w:hint="eastAsia" w:ascii="Times New Roman" w:hAnsi="Times New Roman" w:eastAsia="宋体" w:cs="Times New Roman"/>
                <w:color w:val="auto"/>
                <w:sz w:val="24"/>
                <w:szCs w:val="24"/>
                <w:lang w:val="en-US" w:eastAsia="zh-CN"/>
              </w:rPr>
              <w:t>u</w:t>
            </w:r>
            <w:r>
              <w:rPr>
                <w:rFonts w:hint="default" w:ascii="Times New Roman" w:hAnsi="Times New Roman" w:eastAsia="宋体" w:cs="Times New Roman"/>
                <w:color w:val="auto"/>
                <w:sz w:val="24"/>
                <w:szCs w:val="24"/>
              </w:rPr>
              <w:t>g/m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rPr>
              <w:t>，一氧化碳(24小时平均)全年第95百分位数浓度值为0.8mg/m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rPr>
              <w:t>，均低于《环境空气质量标准》(GB3095-2012)中一级标准限值;PM</w:t>
            </w:r>
            <w:r>
              <w:rPr>
                <w:rFonts w:hint="eastAsia" w:ascii="Times New Roman" w:hAnsi="Times New Roman" w:eastAsia="宋体" w:cs="Times New Roman"/>
                <w:color w:val="auto"/>
                <w:sz w:val="24"/>
                <w:szCs w:val="24"/>
                <w:vertAlign w:val="subscript"/>
                <w:lang w:val="en-US" w:eastAsia="zh-CN"/>
              </w:rPr>
              <w:t>2.5</w:t>
            </w:r>
            <w:r>
              <w:rPr>
                <w:rFonts w:hint="default" w:ascii="Times New Roman" w:hAnsi="Times New Roman" w:eastAsia="宋体" w:cs="Times New Roman"/>
                <w:color w:val="auto"/>
                <w:sz w:val="24"/>
                <w:szCs w:val="24"/>
              </w:rPr>
              <w:t>年浓度值为20ug/m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rPr>
              <w:t>，臭氧(日最大8小时平均)全年第90百分位数为130ug/m</w:t>
            </w:r>
            <w:r>
              <w:rPr>
                <w:rFonts w:hint="eastAsia"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rPr>
              <w:t>，均低于《环境空气质量标准》(GB 3095-2012)中二级标准限值。因此，湛江市区范围内SO</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、NO</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、PM</w:t>
            </w:r>
            <w:r>
              <w:rPr>
                <w:rFonts w:hint="default" w:ascii="Times New Roman" w:hAnsi="Times New Roman" w:eastAsia="宋体" w:cs="Times New Roman"/>
                <w:color w:val="auto"/>
                <w:sz w:val="24"/>
                <w:szCs w:val="24"/>
                <w:vertAlign w:val="subscript"/>
              </w:rPr>
              <w:t>10</w:t>
            </w:r>
            <w:r>
              <w:rPr>
                <w:rFonts w:hint="default" w:ascii="Times New Roman" w:hAnsi="Times New Roman" w:eastAsia="宋体" w:cs="Times New Roman"/>
                <w:color w:val="auto"/>
                <w:sz w:val="24"/>
                <w:szCs w:val="24"/>
              </w:rPr>
              <w:t>、PM</w:t>
            </w:r>
            <w:r>
              <w:rPr>
                <w:rFonts w:hint="default" w:ascii="Times New Roman" w:hAnsi="Times New Roman" w:eastAsia="宋体" w:cs="Times New Roman"/>
                <w:color w:val="auto"/>
                <w:sz w:val="24"/>
                <w:szCs w:val="24"/>
                <w:vertAlign w:val="subscript"/>
              </w:rPr>
              <w:t>2.5</w:t>
            </w:r>
            <w:r>
              <w:rPr>
                <w:rFonts w:hint="default" w:ascii="Times New Roman" w:hAnsi="Times New Roman" w:eastAsia="宋体" w:cs="Times New Roman"/>
                <w:color w:val="auto"/>
                <w:sz w:val="24"/>
                <w:szCs w:val="24"/>
              </w:rPr>
              <w:t>、CO和O</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污染物均符合《环境空气质量标准》（GB3095-2012）及其修改单（生态环境部2018年第29号）的二级标准，属于达标区。</w:t>
            </w:r>
          </w:p>
          <w:p w14:paraId="606D45EB">
            <w:pPr>
              <w:pStyle w:val="53"/>
              <w:keepNext w:val="0"/>
              <w:keepLines w:val="0"/>
              <w:suppressLineNumbers w:val="0"/>
              <w:spacing w:before="0" w:beforeAutospacing="0" w:after="0" w:afterAutospacing="0"/>
              <w:ind w:left="420" w:leftChars="200" w:right="0" w:firstLine="0" w:firstLineChars="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（2）区域其他污染物环境质量现状监测</w:t>
            </w:r>
          </w:p>
          <w:p w14:paraId="356CF6D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ascii="Times New Roman" w:hAnsi="Times New Roman" w:eastAsia="宋体" w:cs="Times New Roman"/>
                <w:color w:val="auto"/>
                <w:sz w:val="24"/>
                <w:szCs w:val="24"/>
                <w:lang w:val="en-US" w:eastAsia="zh-CN"/>
              </w:rPr>
              <w:t>总悬浮颗粒物</w:t>
            </w:r>
            <w:r>
              <w:rPr>
                <w:rFonts w:hint="default" w:ascii="Times New Roman" w:hAnsi="Times New Roman" w:eastAsia="宋体" w:cs="Times New Roman"/>
                <w:color w:val="auto"/>
                <w:sz w:val="24"/>
                <w:szCs w:val="24"/>
              </w:rPr>
              <w:t>的环境空气质量现状数据</w:t>
            </w:r>
            <w:r>
              <w:rPr>
                <w:rFonts w:hint="eastAsia" w:ascii="Times New Roman" w:hAnsi="Times New Roman" w:eastAsia="宋体" w:cs="Times New Roman"/>
                <w:color w:val="auto"/>
                <w:sz w:val="24"/>
                <w:szCs w:val="24"/>
                <w:lang w:val="en-US" w:eastAsia="zh-CN"/>
              </w:rPr>
              <w:t>委托</w:t>
            </w:r>
            <w:r>
              <w:rPr>
                <w:rFonts w:hint="default" w:ascii="Times New Roman" w:hAnsi="Times New Roman" w:eastAsia="宋体" w:cs="Times New Roman"/>
                <w:color w:val="auto"/>
                <w:sz w:val="24"/>
                <w:szCs w:val="24"/>
              </w:rPr>
              <w:t>广东三正检测技术有限公司于202</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rPr>
              <w:t>日在</w:t>
            </w:r>
            <w:r>
              <w:rPr>
                <w:rFonts w:hint="eastAsia" w:ascii="Times New Roman" w:hAnsi="Times New Roman" w:eastAsia="宋体" w:cs="Times New Roman"/>
                <w:color w:val="auto"/>
                <w:sz w:val="24"/>
                <w:szCs w:val="24"/>
                <w:lang w:val="en-US" w:eastAsia="zh-CN"/>
              </w:rPr>
              <w:t>横埇村</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E</w:t>
            </w:r>
            <w:r>
              <w:rPr>
                <w:rFonts w:hint="default" w:ascii="Times New Roman" w:hAnsi="Times New Roman" w:eastAsia="宋体" w:cs="Times New Roman"/>
                <w:color w:val="auto"/>
                <w:sz w:val="24"/>
                <w:szCs w:val="24"/>
                <w:lang w:val="en-US" w:eastAsia="zh-CN"/>
              </w:rPr>
              <w:t>109°46′</w:t>
            </w:r>
            <w:r>
              <w:rPr>
                <w:rFonts w:hint="eastAsia" w:ascii="Times New Roman" w:hAnsi="Times New Roman" w:eastAsia="宋体" w:cs="Times New Roman"/>
                <w:color w:val="auto"/>
                <w:sz w:val="24"/>
                <w:szCs w:val="24"/>
                <w:lang w:val="en-US" w:eastAsia="zh-CN"/>
              </w:rPr>
              <w:t>50.9</w:t>
            </w:r>
            <w:r>
              <w:rPr>
                <w:rFonts w:hint="default"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t>N</w:t>
            </w:r>
            <w:r>
              <w:rPr>
                <w:rFonts w:hint="default" w:ascii="Times New Roman" w:hAnsi="Times New Roman" w:eastAsia="宋体" w:cs="Times New Roman"/>
                <w:color w:val="auto"/>
                <w:sz w:val="24"/>
                <w:szCs w:val="24"/>
                <w:lang w:val="en-US" w:eastAsia="zh-CN"/>
              </w:rPr>
              <w:t>21°37′</w:t>
            </w:r>
            <w:r>
              <w:rPr>
                <w:rFonts w:hint="eastAsia" w:ascii="Times New Roman" w:hAnsi="Times New Roman" w:eastAsia="宋体" w:cs="Times New Roman"/>
                <w:color w:val="auto"/>
                <w:sz w:val="24"/>
                <w:szCs w:val="24"/>
                <w:lang w:val="en-US" w:eastAsia="zh-CN"/>
              </w:rPr>
              <w:t>7.09</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进行监测。</w:t>
            </w:r>
            <w:r>
              <w:rPr>
                <w:rFonts w:hint="eastAsia" w:ascii="Times New Roman" w:hAnsi="Times New Roman" w:eastAsia="宋体" w:cs="Times New Roman"/>
                <w:color w:val="auto"/>
                <w:sz w:val="24"/>
                <w:szCs w:val="24"/>
                <w:lang w:val="en-US" w:eastAsia="zh-CN"/>
              </w:rPr>
              <w:t>该</w:t>
            </w:r>
            <w:r>
              <w:rPr>
                <w:rFonts w:hint="default" w:ascii="Times New Roman" w:hAnsi="Times New Roman" w:eastAsia="宋体" w:cs="Times New Roman"/>
                <w:color w:val="auto"/>
                <w:sz w:val="24"/>
                <w:szCs w:val="24"/>
              </w:rPr>
              <w:t>监测点位位于项目</w:t>
            </w:r>
            <w:r>
              <w:rPr>
                <w:rFonts w:hint="eastAsia" w:ascii="Times New Roman" w:hAnsi="Times New Roman" w:eastAsia="宋体" w:cs="Times New Roman"/>
                <w:color w:val="auto"/>
                <w:sz w:val="24"/>
                <w:szCs w:val="24"/>
                <w:lang w:val="en-US" w:eastAsia="zh-CN"/>
              </w:rPr>
              <w:t>北</w:t>
            </w:r>
            <w:r>
              <w:rPr>
                <w:rFonts w:hint="default" w:ascii="Times New Roman" w:hAnsi="Times New Roman" w:eastAsia="宋体" w:cs="Times New Roman"/>
                <w:color w:val="auto"/>
                <w:sz w:val="24"/>
                <w:szCs w:val="24"/>
              </w:rPr>
              <w:t>侧约</w:t>
            </w:r>
            <w:r>
              <w:rPr>
                <w:rFonts w:hint="eastAsia" w:ascii="Times New Roman" w:hAnsi="Times New Roman" w:eastAsia="宋体" w:cs="Times New Roman"/>
                <w:color w:val="auto"/>
                <w:sz w:val="24"/>
                <w:szCs w:val="24"/>
                <w:lang w:val="en-US" w:eastAsia="zh-CN"/>
              </w:rPr>
              <w:t>0.12</w:t>
            </w:r>
            <w:r>
              <w:rPr>
                <w:rFonts w:hint="default" w:ascii="Times New Roman" w:hAnsi="Times New Roman" w:eastAsia="宋体" w:cs="Times New Roman"/>
                <w:color w:val="auto"/>
                <w:sz w:val="24"/>
                <w:szCs w:val="24"/>
              </w:rPr>
              <w:t>km，</w:t>
            </w:r>
            <w:r>
              <w:rPr>
                <w:rFonts w:hint="eastAsia" w:ascii="Times New Roman" w:hAnsi="Times New Roman" w:eastAsia="宋体" w:cs="Times New Roman"/>
                <w:color w:val="auto"/>
                <w:sz w:val="24"/>
                <w:szCs w:val="24"/>
                <w:lang w:val="en-US" w:eastAsia="zh-CN"/>
              </w:rPr>
              <w:t>处于项目下风向</w:t>
            </w:r>
            <w:r>
              <w:rPr>
                <w:rFonts w:hint="default" w:ascii="Times New Roman" w:hAnsi="Times New Roman" w:eastAsia="宋体" w:cs="Times New Roman"/>
                <w:color w:val="auto"/>
                <w:sz w:val="24"/>
                <w:szCs w:val="24"/>
              </w:rPr>
              <w:t>，符合《环境影响评价技术导则 大气环境》（HJ2.2-2018）中的相关要求，其监测结果见下表3-1。</w:t>
            </w:r>
          </w:p>
          <w:p w14:paraId="35F1016E">
            <w:pPr>
              <w:keepNext w:val="0"/>
              <w:keepLines w:val="0"/>
              <w:suppressLineNumbers w:val="0"/>
              <w:spacing w:before="0" w:beforeAutospacing="0" w:after="0" w:afterAutospacing="0" w:line="240" w:lineRule="auto"/>
              <w:ind w:left="0" w:right="0" w:firstLine="422" w:firstLineChars="20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表3-1  污染物环境质量现状监测结果统计表</w:t>
            </w:r>
          </w:p>
          <w:tbl>
            <w:tblPr>
              <w:tblStyle w:val="35"/>
              <w:tblW w:w="8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8"/>
              <w:gridCol w:w="1513"/>
              <w:gridCol w:w="5338"/>
            </w:tblGrid>
            <w:tr w14:paraId="3667A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408" w:type="dxa"/>
                  <w:vMerge w:val="restart"/>
                  <w:noWrap w:val="0"/>
                  <w:vAlign w:val="center"/>
                </w:tcPr>
                <w:p w14:paraId="6D2A4DA4">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检测日期</w:t>
                  </w:r>
                </w:p>
              </w:tc>
              <w:tc>
                <w:tcPr>
                  <w:tcW w:w="1513" w:type="dxa"/>
                  <w:vMerge w:val="restart"/>
                  <w:noWrap w:val="0"/>
                  <w:vAlign w:val="center"/>
                </w:tcPr>
                <w:p w14:paraId="7450052C">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采样时段</w:t>
                  </w:r>
                </w:p>
              </w:tc>
              <w:tc>
                <w:tcPr>
                  <w:tcW w:w="5338" w:type="dxa"/>
                  <w:noWrap w:val="0"/>
                  <w:vAlign w:val="center"/>
                </w:tcPr>
                <w:p w14:paraId="13F7354F">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检 测 结 果</w:t>
                  </w:r>
                </w:p>
              </w:tc>
            </w:tr>
            <w:tr w14:paraId="64617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408" w:type="dxa"/>
                  <w:vMerge w:val="continue"/>
                  <w:noWrap w:val="0"/>
                  <w:vAlign w:val="center"/>
                </w:tcPr>
                <w:p w14:paraId="4AA61BD8">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p>
              </w:tc>
              <w:tc>
                <w:tcPr>
                  <w:tcW w:w="1513" w:type="dxa"/>
                  <w:vMerge w:val="continue"/>
                  <w:noWrap w:val="0"/>
                  <w:vAlign w:val="center"/>
                </w:tcPr>
                <w:p w14:paraId="5DCAE655">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p>
              </w:tc>
              <w:tc>
                <w:tcPr>
                  <w:tcW w:w="5338" w:type="dxa"/>
                  <w:noWrap w:val="0"/>
                  <w:vAlign w:val="center"/>
                </w:tcPr>
                <w:p w14:paraId="46964E28">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r>
                    <w:rPr>
                      <w:rFonts w:hint="eastAsia" w:ascii="Times New Roman" w:hAnsi="Times New Roman" w:eastAsia="宋体" w:cs="Times New Roman"/>
                      <w:color w:val="auto"/>
                      <w:sz w:val="24"/>
                      <w:szCs w:val="24"/>
                      <w:lang w:val="en-US" w:eastAsia="zh-CN"/>
                    </w:rPr>
                    <w:t>横埇村</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E</w:t>
                  </w:r>
                  <w:r>
                    <w:rPr>
                      <w:rFonts w:hint="default" w:ascii="Times New Roman" w:hAnsi="Times New Roman" w:eastAsia="宋体" w:cs="Times New Roman"/>
                      <w:color w:val="auto"/>
                      <w:sz w:val="24"/>
                      <w:szCs w:val="24"/>
                      <w:lang w:val="en-US" w:eastAsia="zh-CN"/>
                    </w:rPr>
                    <w:t>109°46′</w:t>
                  </w:r>
                  <w:r>
                    <w:rPr>
                      <w:rFonts w:hint="eastAsia" w:ascii="Times New Roman" w:hAnsi="Times New Roman" w:eastAsia="宋体" w:cs="Times New Roman"/>
                      <w:color w:val="auto"/>
                      <w:sz w:val="24"/>
                      <w:szCs w:val="24"/>
                      <w:lang w:val="en-US" w:eastAsia="zh-CN"/>
                    </w:rPr>
                    <w:t>50.9</w:t>
                  </w:r>
                  <w:r>
                    <w:rPr>
                      <w:rFonts w:hint="default"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t>N</w:t>
                  </w:r>
                  <w:r>
                    <w:rPr>
                      <w:rFonts w:hint="default" w:ascii="Times New Roman" w:hAnsi="Times New Roman" w:eastAsia="宋体" w:cs="Times New Roman"/>
                      <w:color w:val="auto"/>
                      <w:sz w:val="24"/>
                      <w:szCs w:val="24"/>
                      <w:lang w:val="en-US" w:eastAsia="zh-CN"/>
                    </w:rPr>
                    <w:t>21°37′</w:t>
                  </w:r>
                  <w:r>
                    <w:rPr>
                      <w:rFonts w:hint="eastAsia" w:ascii="Times New Roman" w:hAnsi="Times New Roman" w:eastAsia="宋体" w:cs="Times New Roman"/>
                      <w:color w:val="auto"/>
                      <w:sz w:val="24"/>
                      <w:szCs w:val="24"/>
                      <w:lang w:val="en-US" w:eastAsia="zh-CN"/>
                    </w:rPr>
                    <w:t>7.09</w:t>
                  </w:r>
                  <w:r>
                    <w:rPr>
                      <w:rFonts w:hint="default" w:ascii="Times New Roman" w:hAnsi="Times New Roman" w:eastAsia="宋体" w:cs="Times New Roman"/>
                      <w:color w:val="auto"/>
                      <w:sz w:val="24"/>
                      <w:szCs w:val="24"/>
                      <w:lang w:val="en-US" w:eastAsia="zh-CN"/>
                    </w:rPr>
                    <w:t>″）</w:t>
                  </w:r>
                </w:p>
              </w:tc>
            </w:tr>
            <w:tr w14:paraId="12484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408" w:type="dxa"/>
                  <w:vMerge w:val="continue"/>
                  <w:noWrap w:val="0"/>
                  <w:vAlign w:val="center"/>
                </w:tcPr>
                <w:p w14:paraId="49C1E5C7">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p>
              </w:tc>
              <w:tc>
                <w:tcPr>
                  <w:tcW w:w="1513" w:type="dxa"/>
                  <w:vMerge w:val="continue"/>
                  <w:noWrap w:val="0"/>
                  <w:vAlign w:val="center"/>
                </w:tcPr>
                <w:p w14:paraId="2B1AB0FC">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p>
              </w:tc>
              <w:tc>
                <w:tcPr>
                  <w:tcW w:w="5338" w:type="dxa"/>
                  <w:noWrap w:val="0"/>
                  <w:vAlign w:val="center"/>
                </w:tcPr>
                <w:p w14:paraId="593A0C1E">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TSP（μ</w:t>
                  </w:r>
                  <w:r>
                    <w:rPr>
                      <w:rFonts w:hint="default" w:ascii="Times New Roman" w:hAnsi="Times New Roman" w:eastAsia="宋体" w:cs="Times New Roman"/>
                      <w:b w:val="0"/>
                      <w:bCs/>
                      <w:color w:val="auto"/>
                      <w:kern w:val="2"/>
                      <w:sz w:val="21"/>
                      <w:szCs w:val="21"/>
                      <w:highlight w:val="none"/>
                      <w:lang w:val="en-US" w:eastAsia="zh-CN" w:bidi="ar-SA"/>
                    </w:rPr>
                    <w:t>g/m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cs="Times New Roman"/>
                      <w:b w:val="0"/>
                      <w:bCs/>
                      <w:color w:val="auto"/>
                      <w:sz w:val="21"/>
                      <w:szCs w:val="21"/>
                      <w:highlight w:val="none"/>
                      <w:lang w:val="en-US" w:eastAsia="zh-CN"/>
                    </w:rPr>
                    <w:t>）</w:t>
                  </w:r>
                </w:p>
              </w:tc>
            </w:tr>
            <w:tr w14:paraId="67686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08" w:type="dxa"/>
                  <w:noWrap w:val="0"/>
                  <w:vAlign w:val="center"/>
                </w:tcPr>
                <w:p w14:paraId="2168DA23">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 w:val="0"/>
                      <w:bCs/>
                      <w:color w:val="auto"/>
                      <w:sz w:val="21"/>
                      <w:szCs w:val="21"/>
                      <w:highlight w:val="none"/>
                      <w:lang w:val="en-US" w:eastAsia="zh-CN"/>
                    </w:rPr>
                  </w:pPr>
                  <w:r>
                    <w:rPr>
                      <w:rFonts w:hint="eastAsia" w:ascii="Times New Roman" w:hAnsi="Times New Roman" w:eastAsia="宋体" w:cs="Times New Roman"/>
                      <w:color w:val="auto"/>
                      <w:sz w:val="24"/>
                      <w:szCs w:val="24"/>
                      <w:lang w:eastAsia="zh-CN"/>
                    </w:rPr>
                    <w:t>2025.0</w:t>
                  </w:r>
                  <w:r>
                    <w:rPr>
                      <w:rFonts w:hint="eastAsia" w:ascii="Times New Roman" w:hAnsi="Times New Roman" w:eastAsia="宋体" w:cs="Times New Roman"/>
                      <w:color w:val="auto"/>
                      <w:sz w:val="24"/>
                      <w:szCs w:val="24"/>
                      <w:lang w:val="en-US" w:eastAsia="zh-CN"/>
                    </w:rPr>
                    <w:t>8</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18</w:t>
                  </w:r>
                </w:p>
              </w:tc>
              <w:tc>
                <w:tcPr>
                  <w:tcW w:w="1513" w:type="dxa"/>
                  <w:noWrap w:val="0"/>
                  <w:vAlign w:val="center"/>
                </w:tcPr>
                <w:p w14:paraId="4341165C">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Cs/>
                      <w:color w:val="auto"/>
                      <w:sz w:val="24"/>
                      <w:szCs w:val="24"/>
                    </w:rPr>
                    <w:t>0</w:t>
                  </w:r>
                  <w:r>
                    <w:rPr>
                      <w:rFonts w:hint="eastAsia" w:ascii="Times New Roman" w:hAnsi="Times New Roman" w:eastAsia="宋体" w:cs="Times New Roman"/>
                      <w:bCs/>
                      <w:color w:val="auto"/>
                      <w:sz w:val="24"/>
                      <w:szCs w:val="24"/>
                      <w:lang w:val="en-US" w:eastAsia="zh-CN"/>
                    </w:rPr>
                    <w:t>0</w:t>
                  </w:r>
                  <w:r>
                    <w:rPr>
                      <w:rFonts w:hint="default" w:ascii="Times New Roman" w:hAnsi="Times New Roman" w:eastAsia="宋体" w:cs="Times New Roman"/>
                      <w:bCs/>
                      <w:color w:val="auto"/>
                      <w:sz w:val="24"/>
                      <w:szCs w:val="24"/>
                    </w:rPr>
                    <w:t>:00</w:t>
                  </w:r>
                  <w:r>
                    <w:rPr>
                      <w:rFonts w:hint="default" w:ascii="Times New Roman" w:hAnsi="Times New Roman" w:eastAsia="宋体" w:cs="Times New Roman"/>
                      <w:bCs/>
                      <w:color w:val="auto"/>
                      <w:sz w:val="24"/>
                      <w:szCs w:val="24"/>
                      <w:lang w:val="en-US" w:eastAsia="zh-CN"/>
                    </w:rPr>
                    <w:t>~</w:t>
                  </w:r>
                  <w:r>
                    <w:rPr>
                      <w:rFonts w:hint="eastAsia" w:ascii="Times New Roman" w:hAnsi="Times New Roman" w:eastAsia="宋体" w:cs="Times New Roman"/>
                      <w:bCs/>
                      <w:color w:val="auto"/>
                      <w:sz w:val="24"/>
                      <w:szCs w:val="24"/>
                      <w:lang w:eastAsia="zh-CN"/>
                    </w:rPr>
                    <w:t>次日</w:t>
                  </w:r>
                  <w:r>
                    <w:rPr>
                      <w:rFonts w:hint="eastAsia" w:ascii="Times New Roman" w:hAnsi="Times New Roman" w:eastAsia="宋体" w:cs="Times New Roman"/>
                      <w:bCs/>
                      <w:color w:val="auto"/>
                      <w:sz w:val="24"/>
                      <w:szCs w:val="24"/>
                      <w:lang w:val="en-US" w:eastAsia="zh-CN"/>
                    </w:rPr>
                    <w:t>00</w:t>
                  </w:r>
                  <w:r>
                    <w:rPr>
                      <w:rFonts w:hint="default" w:ascii="Times New Roman" w:hAnsi="Times New Roman" w:eastAsia="宋体" w:cs="Times New Roman"/>
                      <w:bCs/>
                      <w:color w:val="auto"/>
                      <w:sz w:val="24"/>
                      <w:szCs w:val="24"/>
                    </w:rPr>
                    <w:t>:00</w:t>
                  </w:r>
                </w:p>
              </w:tc>
              <w:tc>
                <w:tcPr>
                  <w:tcW w:w="5338" w:type="dxa"/>
                  <w:noWrap w:val="0"/>
                  <w:vAlign w:val="center"/>
                </w:tcPr>
                <w:p w14:paraId="45B4FBCB">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93</w:t>
                  </w:r>
                </w:p>
              </w:tc>
            </w:tr>
            <w:tr w14:paraId="75F53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08" w:type="dxa"/>
                  <w:noWrap w:val="0"/>
                  <w:vAlign w:val="center"/>
                </w:tcPr>
                <w:p w14:paraId="0F48C6CF">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 w:val="0"/>
                      <w:bCs/>
                      <w:color w:val="auto"/>
                      <w:sz w:val="21"/>
                      <w:szCs w:val="21"/>
                      <w:highlight w:val="none"/>
                      <w:lang w:val="en-US" w:eastAsia="zh-CN"/>
                    </w:rPr>
                  </w:pPr>
                  <w:r>
                    <w:rPr>
                      <w:rFonts w:hint="eastAsia" w:ascii="Times New Roman" w:hAnsi="Times New Roman" w:eastAsia="宋体" w:cs="Times New Roman"/>
                      <w:color w:val="auto"/>
                      <w:sz w:val="24"/>
                      <w:szCs w:val="24"/>
                      <w:lang w:eastAsia="zh-CN"/>
                    </w:rPr>
                    <w:t>2025.0</w:t>
                  </w:r>
                  <w:r>
                    <w:rPr>
                      <w:rFonts w:hint="eastAsia" w:ascii="Times New Roman" w:hAnsi="Times New Roman" w:eastAsia="宋体" w:cs="Times New Roman"/>
                      <w:color w:val="auto"/>
                      <w:sz w:val="24"/>
                      <w:szCs w:val="24"/>
                      <w:lang w:val="en-US" w:eastAsia="zh-CN"/>
                    </w:rPr>
                    <w:t>8</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cs="Times New Roman"/>
                      <w:color w:val="auto"/>
                      <w:sz w:val="24"/>
                      <w:szCs w:val="24"/>
                      <w:lang w:val="en-US" w:eastAsia="zh-CN"/>
                    </w:rPr>
                    <w:t>9</w:t>
                  </w:r>
                </w:p>
              </w:tc>
              <w:tc>
                <w:tcPr>
                  <w:tcW w:w="1513" w:type="dxa"/>
                  <w:noWrap w:val="0"/>
                  <w:vAlign w:val="center"/>
                </w:tcPr>
                <w:p w14:paraId="59631EEA">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Cs/>
                      <w:color w:val="auto"/>
                      <w:sz w:val="24"/>
                      <w:szCs w:val="24"/>
                    </w:rPr>
                    <w:t>0</w:t>
                  </w:r>
                  <w:r>
                    <w:rPr>
                      <w:rFonts w:hint="eastAsia" w:ascii="Times New Roman" w:hAnsi="Times New Roman" w:eastAsia="宋体" w:cs="Times New Roman"/>
                      <w:bCs/>
                      <w:color w:val="auto"/>
                      <w:sz w:val="24"/>
                      <w:szCs w:val="24"/>
                      <w:lang w:val="en-US" w:eastAsia="zh-CN"/>
                    </w:rPr>
                    <w:t>0</w:t>
                  </w:r>
                  <w:r>
                    <w:rPr>
                      <w:rFonts w:hint="default" w:ascii="Times New Roman" w:hAnsi="Times New Roman" w:eastAsia="宋体" w:cs="Times New Roman"/>
                      <w:bCs/>
                      <w:color w:val="auto"/>
                      <w:sz w:val="24"/>
                      <w:szCs w:val="24"/>
                    </w:rPr>
                    <w:t>:00</w:t>
                  </w:r>
                  <w:r>
                    <w:rPr>
                      <w:rFonts w:hint="default" w:ascii="Times New Roman" w:hAnsi="Times New Roman" w:eastAsia="宋体" w:cs="Times New Roman"/>
                      <w:bCs/>
                      <w:color w:val="auto"/>
                      <w:sz w:val="24"/>
                      <w:szCs w:val="24"/>
                      <w:lang w:val="en-US" w:eastAsia="zh-CN"/>
                    </w:rPr>
                    <w:t>~</w:t>
                  </w:r>
                  <w:r>
                    <w:rPr>
                      <w:rFonts w:hint="eastAsia" w:ascii="Times New Roman" w:hAnsi="Times New Roman" w:eastAsia="宋体" w:cs="Times New Roman"/>
                      <w:bCs/>
                      <w:color w:val="auto"/>
                      <w:sz w:val="24"/>
                      <w:szCs w:val="24"/>
                      <w:lang w:eastAsia="zh-CN"/>
                    </w:rPr>
                    <w:t>次日</w:t>
                  </w:r>
                  <w:r>
                    <w:rPr>
                      <w:rFonts w:hint="eastAsia" w:ascii="Times New Roman" w:hAnsi="Times New Roman" w:eastAsia="宋体" w:cs="Times New Roman"/>
                      <w:bCs/>
                      <w:color w:val="auto"/>
                      <w:sz w:val="24"/>
                      <w:szCs w:val="24"/>
                      <w:lang w:val="en-US" w:eastAsia="zh-CN"/>
                    </w:rPr>
                    <w:t>00</w:t>
                  </w:r>
                  <w:r>
                    <w:rPr>
                      <w:rFonts w:hint="default" w:ascii="Times New Roman" w:hAnsi="Times New Roman" w:eastAsia="宋体" w:cs="Times New Roman"/>
                      <w:bCs/>
                      <w:color w:val="auto"/>
                      <w:sz w:val="24"/>
                      <w:szCs w:val="24"/>
                    </w:rPr>
                    <w:t>:00</w:t>
                  </w:r>
                </w:p>
              </w:tc>
              <w:tc>
                <w:tcPr>
                  <w:tcW w:w="5338" w:type="dxa"/>
                  <w:noWrap w:val="0"/>
                  <w:vAlign w:val="center"/>
                </w:tcPr>
                <w:p w14:paraId="43DEF595">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88</w:t>
                  </w:r>
                </w:p>
              </w:tc>
            </w:tr>
            <w:tr w14:paraId="469C5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408" w:type="dxa"/>
                  <w:noWrap w:val="0"/>
                  <w:vAlign w:val="center"/>
                </w:tcPr>
                <w:p w14:paraId="2A156407">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b w:val="0"/>
                      <w:bCs/>
                      <w:color w:val="auto"/>
                      <w:sz w:val="21"/>
                      <w:szCs w:val="21"/>
                      <w:highlight w:val="none"/>
                      <w:lang w:val="en-US" w:eastAsia="zh-CN"/>
                    </w:rPr>
                  </w:pPr>
                  <w:r>
                    <w:rPr>
                      <w:rFonts w:hint="eastAsia" w:ascii="Times New Roman" w:hAnsi="Times New Roman" w:eastAsia="宋体" w:cs="Times New Roman"/>
                      <w:color w:val="auto"/>
                      <w:sz w:val="24"/>
                      <w:szCs w:val="24"/>
                      <w:lang w:eastAsia="zh-CN"/>
                    </w:rPr>
                    <w:t>2025.0</w:t>
                  </w:r>
                  <w:r>
                    <w:rPr>
                      <w:rFonts w:hint="eastAsia" w:ascii="Times New Roman" w:hAnsi="Times New Roman" w:eastAsia="宋体" w:cs="Times New Roman"/>
                      <w:color w:val="auto"/>
                      <w:sz w:val="24"/>
                      <w:szCs w:val="24"/>
                      <w:lang w:val="en-US" w:eastAsia="zh-CN"/>
                    </w:rPr>
                    <w:t>8</w:t>
                  </w:r>
                  <w:r>
                    <w:rPr>
                      <w:rFonts w:hint="eastAsia" w:ascii="Times New Roman" w:hAnsi="Times New Roman" w:eastAsia="宋体" w:cs="Times New Roman"/>
                      <w:color w:val="auto"/>
                      <w:sz w:val="24"/>
                      <w:szCs w:val="24"/>
                      <w:lang w:eastAsia="zh-CN"/>
                    </w:rPr>
                    <w:t>.</w:t>
                  </w:r>
                  <w:r>
                    <w:rPr>
                      <w:rFonts w:hint="eastAsia" w:ascii="Times New Roman" w:hAnsi="Times New Roman" w:cs="Times New Roman"/>
                      <w:color w:val="auto"/>
                      <w:sz w:val="24"/>
                      <w:szCs w:val="24"/>
                      <w:lang w:val="en-US" w:eastAsia="zh-CN"/>
                    </w:rPr>
                    <w:t>20</w:t>
                  </w:r>
                </w:p>
              </w:tc>
              <w:tc>
                <w:tcPr>
                  <w:tcW w:w="1513" w:type="dxa"/>
                  <w:noWrap w:val="0"/>
                  <w:vAlign w:val="center"/>
                </w:tcPr>
                <w:p w14:paraId="157DBBA6">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Cs/>
                      <w:color w:val="auto"/>
                      <w:sz w:val="24"/>
                      <w:szCs w:val="24"/>
                    </w:rPr>
                    <w:t>0</w:t>
                  </w:r>
                  <w:r>
                    <w:rPr>
                      <w:rFonts w:hint="eastAsia" w:ascii="Times New Roman" w:hAnsi="Times New Roman" w:eastAsia="宋体" w:cs="Times New Roman"/>
                      <w:bCs/>
                      <w:color w:val="auto"/>
                      <w:sz w:val="24"/>
                      <w:szCs w:val="24"/>
                      <w:lang w:val="en-US" w:eastAsia="zh-CN"/>
                    </w:rPr>
                    <w:t>0</w:t>
                  </w:r>
                  <w:r>
                    <w:rPr>
                      <w:rFonts w:hint="default" w:ascii="Times New Roman" w:hAnsi="Times New Roman" w:eastAsia="宋体" w:cs="Times New Roman"/>
                      <w:bCs/>
                      <w:color w:val="auto"/>
                      <w:sz w:val="24"/>
                      <w:szCs w:val="24"/>
                    </w:rPr>
                    <w:t>:00</w:t>
                  </w:r>
                  <w:r>
                    <w:rPr>
                      <w:rFonts w:hint="default" w:ascii="Times New Roman" w:hAnsi="Times New Roman" w:eastAsia="宋体" w:cs="Times New Roman"/>
                      <w:bCs/>
                      <w:color w:val="auto"/>
                      <w:sz w:val="24"/>
                      <w:szCs w:val="24"/>
                      <w:lang w:val="en-US" w:eastAsia="zh-CN"/>
                    </w:rPr>
                    <w:t>~</w:t>
                  </w:r>
                  <w:r>
                    <w:rPr>
                      <w:rFonts w:hint="eastAsia" w:ascii="Times New Roman" w:hAnsi="Times New Roman" w:eastAsia="宋体" w:cs="Times New Roman"/>
                      <w:bCs/>
                      <w:color w:val="auto"/>
                      <w:sz w:val="24"/>
                      <w:szCs w:val="24"/>
                      <w:lang w:eastAsia="zh-CN"/>
                    </w:rPr>
                    <w:t>次日</w:t>
                  </w:r>
                  <w:r>
                    <w:rPr>
                      <w:rFonts w:hint="eastAsia" w:ascii="Times New Roman" w:hAnsi="Times New Roman" w:eastAsia="宋体" w:cs="Times New Roman"/>
                      <w:bCs/>
                      <w:color w:val="auto"/>
                      <w:sz w:val="24"/>
                      <w:szCs w:val="24"/>
                      <w:lang w:val="en-US" w:eastAsia="zh-CN"/>
                    </w:rPr>
                    <w:t>00</w:t>
                  </w:r>
                  <w:r>
                    <w:rPr>
                      <w:rFonts w:hint="default" w:ascii="Times New Roman" w:hAnsi="Times New Roman" w:eastAsia="宋体" w:cs="Times New Roman"/>
                      <w:bCs/>
                      <w:color w:val="auto"/>
                      <w:sz w:val="24"/>
                      <w:szCs w:val="24"/>
                    </w:rPr>
                    <w:t>:00</w:t>
                  </w:r>
                </w:p>
              </w:tc>
              <w:tc>
                <w:tcPr>
                  <w:tcW w:w="5338" w:type="dxa"/>
                  <w:noWrap w:val="0"/>
                  <w:vAlign w:val="center"/>
                </w:tcPr>
                <w:p w14:paraId="48C4043E">
                  <w:pPr>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95</w:t>
                  </w:r>
                </w:p>
              </w:tc>
            </w:tr>
          </w:tbl>
          <w:p w14:paraId="63293AFD">
            <w:pPr>
              <w:pStyle w:val="80"/>
              <w:keepNext w:val="0"/>
              <w:keepLines w:val="0"/>
              <w:suppressLineNumbers w:val="0"/>
              <w:spacing w:before="0" w:beforeAutospacing="0" w:after="0" w:afterAutospacing="0" w:line="360" w:lineRule="auto"/>
              <w:ind w:left="0" w:leftChars="0" w:right="0" w:firstLine="0" w:firstLineChars="0"/>
              <w:jc w:val="center"/>
              <w:rPr>
                <w:rFonts w:hint="default"/>
                <w:color w:val="auto"/>
              </w:rPr>
            </w:pPr>
          </w:p>
          <w:p w14:paraId="51027548">
            <w:pPr>
              <w:pStyle w:val="80"/>
              <w:keepNext w:val="0"/>
              <w:keepLines w:val="0"/>
              <w:suppressLineNumbers w:val="0"/>
              <w:spacing w:before="0" w:beforeAutospacing="0" w:after="0" w:afterAutospacing="0" w:line="360" w:lineRule="auto"/>
              <w:ind w:left="0" w:leftChars="0" w:right="0" w:firstLine="0" w:firstLineChars="0"/>
              <w:jc w:val="center"/>
              <w:rPr>
                <w:rFonts w:hint="default"/>
                <w:color w:val="auto"/>
              </w:rPr>
            </w:pPr>
            <w:r>
              <w:rPr>
                <w:rFonts w:hint="default"/>
                <w:color w:val="auto"/>
              </w:rPr>
              <w:drawing>
                <wp:inline distT="0" distB="0" distL="114300" distR="114300">
                  <wp:extent cx="5241290" cy="3617595"/>
                  <wp:effectExtent l="0" t="0" r="16510" b="19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5"/>
                          <a:stretch>
                            <a:fillRect/>
                          </a:stretch>
                        </pic:blipFill>
                        <pic:spPr>
                          <a:xfrm>
                            <a:off x="0" y="0"/>
                            <a:ext cx="5241290" cy="3617595"/>
                          </a:xfrm>
                          <a:prstGeom prst="rect">
                            <a:avLst/>
                          </a:prstGeom>
                          <a:noFill/>
                          <a:ln>
                            <a:noFill/>
                          </a:ln>
                        </pic:spPr>
                      </pic:pic>
                    </a:graphicData>
                  </a:graphic>
                </wp:inline>
              </w:drawing>
            </w:r>
          </w:p>
          <w:p w14:paraId="6198A139">
            <w:pPr>
              <w:pStyle w:val="80"/>
              <w:keepNext w:val="0"/>
              <w:keepLines w:val="0"/>
              <w:suppressLineNumbers w:val="0"/>
              <w:spacing w:before="0" w:beforeAutospacing="0" w:after="0" w:afterAutospacing="0" w:line="360" w:lineRule="auto"/>
              <w:ind w:left="0" w:leftChars="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eastAsia="zh-CN"/>
              </w:rPr>
              <w:t>图3-1 项目大气环境监测点位位置示意图</w:t>
            </w:r>
          </w:p>
          <w:p w14:paraId="38A4E336">
            <w:pPr>
              <w:pStyle w:val="80"/>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根据监测结果，项目所在区域环境空气中</w:t>
            </w:r>
            <w:r>
              <w:rPr>
                <w:rFonts w:hint="default" w:ascii="Times New Roman" w:hAnsi="Times New Roman" w:cs="Times New Roman"/>
                <w:color w:val="auto"/>
                <w:sz w:val="24"/>
                <w:szCs w:val="24"/>
                <w:vertAlign w:val="baseline"/>
                <w:lang w:val="en-US" w:eastAsia="zh-CN"/>
              </w:rPr>
              <w:t>TSP</w:t>
            </w:r>
            <w:r>
              <w:rPr>
                <w:rFonts w:hint="eastAsia"/>
                <w:color w:val="auto"/>
                <w:sz w:val="24"/>
                <w:szCs w:val="24"/>
                <w:vertAlign w:val="baseline"/>
                <w:lang w:val="en-US" w:eastAsia="zh-CN"/>
              </w:rPr>
              <w:t>浓度</w:t>
            </w:r>
            <w:r>
              <w:rPr>
                <w:rFonts w:hint="default" w:ascii="Times New Roman" w:hAnsi="Times New Roman" w:eastAsia="宋体" w:cs="Times New Roman"/>
                <w:color w:val="auto"/>
                <w:sz w:val="24"/>
                <w:szCs w:val="24"/>
              </w:rPr>
              <w:t>可满足《环境空气质量标准》（GB3095-2012）及2018年修改单中二级标准限值</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总悬浮颗粒物24小时平均小于300</w:t>
            </w:r>
            <w:r>
              <w:rPr>
                <w:rFonts w:hint="default" w:ascii="Times New Roman" w:hAnsi="Times New Roman" w:cs="Times New Roman"/>
                <w:b w:val="0"/>
                <w:bCs/>
                <w:color w:val="auto"/>
                <w:sz w:val="24"/>
                <w:szCs w:val="24"/>
                <w:highlight w:val="none"/>
                <w:lang w:val="en-US" w:eastAsia="zh-CN"/>
              </w:rPr>
              <w:t>μ</w:t>
            </w:r>
            <w:r>
              <w:rPr>
                <w:rFonts w:hint="default" w:ascii="Times New Roman" w:hAnsi="Times New Roman" w:eastAsia="宋体" w:cs="Times New Roman"/>
                <w:b w:val="0"/>
                <w:bCs/>
                <w:color w:val="auto"/>
                <w:kern w:val="2"/>
                <w:sz w:val="24"/>
                <w:szCs w:val="24"/>
                <w:highlight w:val="none"/>
                <w:lang w:val="en-US" w:eastAsia="zh-CN" w:bidi="ar-SA"/>
              </w:rPr>
              <w:t>g/m</w:t>
            </w:r>
            <w:r>
              <w:rPr>
                <w:rFonts w:hint="default" w:ascii="Times New Roman" w:hAnsi="Times New Roman" w:eastAsia="宋体" w:cs="Times New Roman"/>
                <w:b w:val="0"/>
                <w:bCs/>
                <w:color w:val="auto"/>
                <w:kern w:val="2"/>
                <w:sz w:val="24"/>
                <w:szCs w:val="24"/>
                <w:highlight w:val="none"/>
                <w:vertAlign w:val="superscript"/>
                <w:lang w:val="en-US" w:eastAsia="zh-CN" w:bidi="ar-SA"/>
              </w:rPr>
              <w:t>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，项目所在地大气环境质量现状良好。</w:t>
            </w:r>
          </w:p>
          <w:p w14:paraId="7BC8BB5A">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napToGrid w:val="0"/>
                <w:color w:val="auto"/>
                <w:sz w:val="24"/>
                <w:szCs w:val="24"/>
                <w:highlight w:val="none"/>
              </w:rPr>
            </w:pPr>
            <w:r>
              <w:rPr>
                <w:rFonts w:hint="eastAsia" w:ascii="Times New Roman" w:hAnsi="Times New Roman" w:eastAsia="宋体" w:cs="Times New Roman"/>
                <w:b/>
                <w:snapToGrid w:val="0"/>
                <w:color w:val="auto"/>
                <w:sz w:val="24"/>
                <w:szCs w:val="24"/>
                <w:highlight w:val="none"/>
                <w:lang w:val="en-US" w:eastAsia="zh-CN"/>
              </w:rPr>
              <w:t>2、</w:t>
            </w:r>
            <w:r>
              <w:rPr>
                <w:rFonts w:hint="default" w:ascii="Times New Roman" w:hAnsi="Times New Roman" w:eastAsia="宋体" w:cs="Times New Roman"/>
                <w:b/>
                <w:snapToGrid w:val="0"/>
                <w:color w:val="auto"/>
                <w:sz w:val="24"/>
                <w:szCs w:val="24"/>
                <w:highlight w:val="none"/>
              </w:rPr>
              <w:t>地表水环境</w:t>
            </w:r>
          </w:p>
          <w:p w14:paraId="7BDBAEAB">
            <w:pPr>
              <w:pStyle w:val="60"/>
              <w:keepNext w:val="0"/>
              <w:keepLines w:val="0"/>
              <w:suppressLineNumbers w:val="0"/>
              <w:spacing w:before="0" w:beforeAutospacing="0" w:after="0" w:afterAutospacing="0"/>
              <w:ind w:left="0" w:leftChars="0" w:right="0" w:firstLine="480" w:firstLineChars="200"/>
              <w:contextualSpacing/>
              <w:rPr>
                <w:rFonts w:hint="default" w:ascii="Times New Roman" w:hAnsi="Times New Roman" w:eastAsia="宋体" w:cs="Times New Roman"/>
                <w:bCs w:val="0"/>
                <w:color w:val="auto"/>
                <w:sz w:val="24"/>
                <w:szCs w:val="24"/>
              </w:rPr>
            </w:pPr>
            <w:r>
              <w:rPr>
                <w:rFonts w:hint="default" w:ascii="Times New Roman" w:hAnsi="Times New Roman" w:eastAsia="宋体" w:cs="Times New Roman"/>
                <w:bCs w:val="0"/>
                <w:color w:val="auto"/>
                <w:sz w:val="24"/>
                <w:szCs w:val="24"/>
              </w:rPr>
              <w:t>本项目的地表水环境影响评价等级为三级B，根据《环境影响评价技术导则 地表水环境》(HJ2.3-2018)，水污染影响型三级B评价可不开展区域污染源调查，主要调查依托污水处理设施的</w:t>
            </w:r>
            <w:r>
              <w:rPr>
                <w:rFonts w:hint="eastAsia" w:ascii="Times New Roman" w:hAnsi="Times New Roman" w:eastAsia="宋体" w:cs="Times New Roman"/>
                <w:bCs w:val="0"/>
                <w:color w:val="auto"/>
                <w:sz w:val="24"/>
                <w:szCs w:val="24"/>
                <w:lang w:val="en-US" w:eastAsia="zh-CN"/>
              </w:rPr>
              <w:t>基本情况</w:t>
            </w:r>
            <w:r>
              <w:rPr>
                <w:rFonts w:hint="default" w:ascii="Times New Roman" w:hAnsi="Times New Roman" w:eastAsia="宋体" w:cs="Times New Roman"/>
                <w:bCs w:val="0"/>
                <w:color w:val="auto"/>
                <w:sz w:val="24"/>
                <w:szCs w:val="24"/>
              </w:rPr>
              <w:t>，同时应调查依托污水处理设施执行的排放标准是否涵盖建设项目排放的有毒有害的特征水污染物。</w:t>
            </w:r>
          </w:p>
          <w:p w14:paraId="46E892B0">
            <w:pPr>
              <w:pStyle w:val="60"/>
              <w:keepNext w:val="0"/>
              <w:keepLines w:val="0"/>
              <w:numPr>
                <w:ilvl w:val="0"/>
                <w:numId w:val="0"/>
              </w:numPr>
              <w:suppressLineNumbers w:val="0"/>
              <w:spacing w:before="0" w:beforeAutospacing="0" w:after="0" w:afterAutospacing="0"/>
              <w:ind w:left="0" w:right="0" w:rightChars="0" w:firstLine="480" w:firstLineChars="200"/>
              <w:contextualSpacing/>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本项目</w:t>
            </w:r>
            <w:r>
              <w:rPr>
                <w:rFonts w:hint="eastAsia" w:ascii="Times New Roman" w:hAnsi="Times New Roman" w:eastAsia="宋体" w:cs="Times New Roman"/>
                <w:color w:val="auto"/>
                <w:kern w:val="2"/>
                <w:sz w:val="24"/>
                <w:szCs w:val="24"/>
                <w:lang w:val="en-US" w:eastAsia="zh-CN" w:bidi="ar-SA"/>
              </w:rPr>
              <w:t>车辆清洗废水执行《城市污水再生利用 工业用水水质》（GB/T 19923-2024）中的洗涤用水标准，回用于车辆清洗工序，不外排。</w:t>
            </w:r>
            <w:r>
              <w:rPr>
                <w:rFonts w:hint="eastAsia" w:ascii="Times New Roman" w:hAnsi="Times New Roman" w:eastAsia="宋体" w:cs="Times New Roman"/>
                <w:b w:val="0"/>
                <w:bCs w:val="0"/>
                <w:color w:val="auto"/>
                <w:sz w:val="24"/>
                <w:szCs w:val="24"/>
                <w:lang w:val="en-US" w:eastAsia="zh-CN"/>
              </w:rPr>
              <w:t>生活污水经三级化粪池处理后用于林地灌溉</w:t>
            </w:r>
            <w:r>
              <w:rPr>
                <w:rFonts w:hint="default" w:ascii="Times New Roman" w:hAnsi="Times New Roman" w:eastAsia="宋体" w:cs="Times New Roman"/>
                <w:b w:val="0"/>
                <w:bCs w:val="0"/>
                <w:color w:val="auto"/>
                <w:sz w:val="24"/>
                <w:szCs w:val="24"/>
              </w:rPr>
              <w:t>。根据《环境影响评价技术导则-地表水环境》(HJ2.3-2018)，项目为间接排放，地表水评价工作等级为三级B，不开展现状评价。</w:t>
            </w:r>
          </w:p>
          <w:p w14:paraId="5870861D">
            <w:pPr>
              <w:pStyle w:val="60"/>
              <w:keepNext w:val="0"/>
              <w:keepLines w:val="0"/>
              <w:suppressLineNumbers w:val="0"/>
              <w:adjustRightInd w:val="0"/>
              <w:snapToGrid w:val="0"/>
              <w:spacing w:before="0" w:beforeAutospacing="0" w:after="0" w:afterAutospacing="0"/>
              <w:ind w:left="0" w:right="0" w:firstLine="413"/>
              <w:contextualSpacing/>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3、声环境</w:t>
            </w:r>
          </w:p>
          <w:p w14:paraId="39A0D14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lang w:val="en-US" w:eastAsia="zh-CN"/>
              </w:rPr>
              <w:t>根据《声环境功能区划分技术规范》（GB/T15190-2014）及《声环境质量标准》（GB3096-2008）的规定，以工业混杂为主要功能，属于2类声环境功能区</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本项目周边 50m 范围内没有声环境保护目标，根据《建设项目环境影响报告表编制技术指南（污染影响类）（试行）》，本项目无需开展声环境质量现状调查与评价。</w:t>
            </w:r>
          </w:p>
          <w:p w14:paraId="59DE4A86">
            <w:pPr>
              <w:pStyle w:val="62"/>
              <w:keepNext w:val="0"/>
              <w:keepLines w:val="0"/>
              <w:suppressLineNumbers w:val="0"/>
              <w:adjustRightInd w:val="0"/>
              <w:snapToGrid w:val="0"/>
              <w:spacing w:before="0" w:beforeAutospacing="0" w:after="0" w:afterAutospacing="0"/>
              <w:ind w:left="0" w:right="0" w:firstLine="422"/>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4、生态环境</w:t>
            </w:r>
          </w:p>
          <w:p w14:paraId="615E87F4">
            <w:pPr>
              <w:pStyle w:val="80"/>
              <w:keepNext w:val="0"/>
              <w:keepLines w:val="0"/>
              <w:suppressLineNumbers w:val="0"/>
              <w:spacing w:before="0" w:beforeAutospacing="0" w:after="0" w:afterAutospacing="0" w:line="360" w:lineRule="auto"/>
              <w:ind w:left="0" w:right="0" w:firstLine="42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本项目范围内无生态环境保护目标，根据《建设项目环境影响报告表编制技术指南（污染影响类）》（试行），本项目无需开展生态现状调查，项目周边用地</w:t>
            </w:r>
            <w:r>
              <w:rPr>
                <w:rFonts w:hint="eastAsia" w:ascii="Times New Roman" w:hAnsi="Times New Roman" w:cs="Times New Roman"/>
                <w:color w:val="auto"/>
                <w:sz w:val="24"/>
                <w:szCs w:val="24"/>
                <w:lang w:val="en-US" w:eastAsia="zh-CN"/>
              </w:rPr>
              <w:t>主要为林地</w:t>
            </w:r>
            <w:r>
              <w:rPr>
                <w:rFonts w:hint="default" w:ascii="Times New Roman" w:hAnsi="Times New Roman" w:cs="Times New Roman"/>
                <w:color w:val="auto"/>
                <w:sz w:val="24"/>
                <w:szCs w:val="24"/>
              </w:rPr>
              <w:t>。</w:t>
            </w:r>
          </w:p>
          <w:p w14:paraId="3B34912F">
            <w:pPr>
              <w:pStyle w:val="80"/>
              <w:keepNext w:val="0"/>
              <w:keepLines w:val="0"/>
              <w:suppressLineNumbers w:val="0"/>
              <w:spacing w:before="0" w:beforeAutospacing="0" w:after="0" w:afterAutospacing="0" w:line="360" w:lineRule="auto"/>
              <w:ind w:left="0" w:right="0" w:firstLine="42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（1）植被资源现状</w:t>
            </w:r>
          </w:p>
          <w:p w14:paraId="631B94FE">
            <w:pPr>
              <w:pStyle w:val="80"/>
              <w:keepNext w:val="0"/>
              <w:keepLines w:val="0"/>
              <w:suppressLineNumbers w:val="0"/>
              <w:spacing w:before="0" w:beforeAutospacing="0" w:after="0" w:afterAutospacing="0" w:line="360" w:lineRule="auto"/>
              <w:ind w:left="0" w:right="0" w:firstLine="42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据调查，本项目</w:t>
            </w:r>
            <w:r>
              <w:rPr>
                <w:rFonts w:hint="eastAsia" w:ascii="Times New Roman" w:hAnsi="Times New Roman" w:cs="Times New Roman"/>
                <w:color w:val="auto"/>
                <w:sz w:val="24"/>
                <w:szCs w:val="24"/>
                <w:lang w:val="en-US" w:eastAsia="zh-CN"/>
              </w:rPr>
              <w:t>周边为林地，林草覆盖率较高</w:t>
            </w:r>
            <w:r>
              <w:rPr>
                <w:rFonts w:hint="default" w:ascii="Times New Roman" w:hAnsi="Times New Roman" w:cs="Times New Roman"/>
                <w:color w:val="auto"/>
                <w:sz w:val="24"/>
                <w:szCs w:val="24"/>
              </w:rPr>
              <w:t>，项目区域内无国家重点保护的野生植物。</w:t>
            </w:r>
          </w:p>
          <w:p w14:paraId="6450593D">
            <w:pPr>
              <w:pStyle w:val="80"/>
              <w:keepNext w:val="0"/>
              <w:keepLines w:val="0"/>
              <w:suppressLineNumbers w:val="0"/>
              <w:spacing w:before="0" w:beforeAutospacing="0" w:after="0" w:afterAutospacing="0" w:line="360" w:lineRule="auto"/>
              <w:ind w:left="0" w:right="0" w:firstLine="42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（2）工程沿线动物资源现状</w:t>
            </w:r>
          </w:p>
          <w:p w14:paraId="1C8669F3">
            <w:pPr>
              <w:pStyle w:val="80"/>
              <w:keepNext w:val="0"/>
              <w:keepLines w:val="0"/>
              <w:suppressLineNumbers w:val="0"/>
              <w:spacing w:before="0" w:beforeAutospacing="0" w:after="0" w:afterAutospacing="0" w:line="360" w:lineRule="auto"/>
              <w:ind w:left="0" w:right="0" w:firstLine="42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据调查，本项目</w:t>
            </w:r>
            <w:r>
              <w:rPr>
                <w:rFonts w:hint="eastAsia" w:ascii="Times New Roman" w:hAnsi="Times New Roman" w:cs="Times New Roman"/>
                <w:color w:val="auto"/>
                <w:sz w:val="24"/>
                <w:szCs w:val="24"/>
                <w:lang w:val="en-US" w:eastAsia="zh-CN"/>
              </w:rPr>
              <w:t>周边</w:t>
            </w:r>
            <w:r>
              <w:rPr>
                <w:rFonts w:hint="default" w:ascii="Times New Roman" w:hAnsi="Times New Roman" w:cs="Times New Roman"/>
                <w:color w:val="auto"/>
                <w:sz w:val="24"/>
                <w:szCs w:val="24"/>
              </w:rPr>
              <w:t>以平原、台地等地貌为主，人为活动干扰较大，区域部分常见的动物已基本对人类活动产生适应性。项目用地范围</w:t>
            </w:r>
            <w:r>
              <w:rPr>
                <w:rFonts w:hint="eastAsia" w:ascii="Times New Roman" w:hAnsi="Times New Roman" w:cs="Times New Roman"/>
                <w:color w:val="auto"/>
                <w:sz w:val="24"/>
                <w:szCs w:val="24"/>
                <w:lang w:val="en-US" w:eastAsia="zh-CN"/>
              </w:rPr>
              <w:t>内</w:t>
            </w:r>
            <w:r>
              <w:rPr>
                <w:rFonts w:hint="default" w:ascii="Times New Roman" w:hAnsi="Times New Roman" w:cs="Times New Roman"/>
                <w:color w:val="auto"/>
                <w:sz w:val="24"/>
                <w:szCs w:val="24"/>
              </w:rPr>
              <w:t>无大、中型野生动物种出现，主要为一些常见的小型动物，如各种昆虫、蛇、鼠、鸟类等。现场调查期间，项目评价范围内未见《国家重点保护野生动物名录》、《国家重点保护水生野生动物名录》、《广东省重点保护陆生野生动物名录（第一批）》中的重点保护野生动物和濒危珍稀动物，一般非保护类动物也少见。工程的建设和运行不会对野生动物的生活产生影响和危害。</w:t>
            </w:r>
          </w:p>
          <w:p w14:paraId="38429694">
            <w:pPr>
              <w:pStyle w:val="53"/>
              <w:keepNext w:val="0"/>
              <w:keepLines w:val="0"/>
              <w:suppressLineNumbers w:val="0"/>
              <w:adjustRightInd w:val="0"/>
              <w:snapToGrid w:val="0"/>
              <w:spacing w:before="0" w:beforeAutospacing="0" w:after="0" w:afterAutospacing="0"/>
              <w:ind w:left="420" w:right="0" w:firstLine="0" w:firstLineChars="0"/>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5、地下水、土壤环境</w:t>
            </w:r>
          </w:p>
          <w:p w14:paraId="3C09734A">
            <w:pPr>
              <w:pStyle w:val="80"/>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auto"/>
                <w:sz w:val="24"/>
                <w:szCs w:val="24"/>
                <w:highlight w:val="yellow"/>
              </w:rPr>
            </w:pP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highlight w:val="none"/>
              </w:rPr>
              <w:t>土壤环境</w:t>
            </w:r>
          </w:p>
          <w:p w14:paraId="1CFBAFF0">
            <w:pPr>
              <w:pStyle w:val="80"/>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本项目厂区均硬底化，本项目不存污染物垂直入渗、地表漫流及大气沉降等土壤污染途径，故项目不开展土壤环境现状调查。</w:t>
            </w:r>
          </w:p>
          <w:p w14:paraId="38673249">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（2）地下水环境</w:t>
            </w:r>
          </w:p>
          <w:p w14:paraId="2E7B4E05">
            <w:pPr>
              <w:pStyle w:val="60"/>
              <w:keepNext w:val="0"/>
              <w:keepLines w:val="0"/>
              <w:suppressLineNumbers w:val="0"/>
              <w:spacing w:before="0" w:beforeAutospacing="0" w:after="0" w:afterAutospacing="0"/>
              <w:ind w:left="0" w:leftChars="0" w:right="0" w:firstLine="480" w:firstLineChars="200"/>
              <w:contextualSpacing/>
              <w:rPr>
                <w:rFonts w:hint="eastAsia" w:eastAsiaTheme="minorEastAsia"/>
                <w:color w:val="auto"/>
                <w:lang w:eastAsia="zh-CN"/>
              </w:rPr>
            </w:pPr>
            <w:r>
              <w:rPr>
                <w:rFonts w:hint="default" w:ascii="Times New Roman" w:hAnsi="Times New Roman" w:eastAsia="宋体" w:cs="Times New Roman"/>
                <w:color w:val="auto"/>
                <w:kern w:val="2"/>
                <w:sz w:val="24"/>
                <w:szCs w:val="24"/>
                <w:lang w:val="en-US" w:eastAsia="zh-CN" w:bidi="ar-SA"/>
              </w:rPr>
              <w:t>本项目车辆清洗废水执行《城市污水再生利用 工业用水水质》（GB/T 19923-2024）中的洗涤用水标准，回用于车辆清洗工序，不外排。生活污水</w:t>
            </w:r>
            <w:r>
              <w:rPr>
                <w:rFonts w:hint="eastAsia" w:ascii="Times New Roman" w:hAnsi="Times New Roman" w:eastAsia="宋体" w:cs="Times New Roman"/>
                <w:color w:val="auto"/>
                <w:kern w:val="2"/>
                <w:sz w:val="24"/>
                <w:szCs w:val="24"/>
                <w:lang w:val="en-US" w:eastAsia="zh-CN" w:bidi="ar-SA"/>
              </w:rPr>
              <w:t>经厂区三级化粪池处理</w:t>
            </w:r>
            <w:r>
              <w:rPr>
                <w:rFonts w:hint="default" w:ascii="Times New Roman" w:hAnsi="Times New Roman" w:eastAsia="宋体" w:cs="Times New Roman"/>
                <w:color w:val="auto"/>
                <w:kern w:val="2"/>
                <w:sz w:val="24"/>
                <w:szCs w:val="24"/>
                <w:lang w:val="en-US" w:eastAsia="zh-CN" w:bidi="ar-SA"/>
              </w:rPr>
              <w:t>后，</w:t>
            </w:r>
            <w:r>
              <w:rPr>
                <w:rFonts w:hint="eastAsia" w:ascii="Times New Roman" w:hAnsi="Times New Roman" w:eastAsia="宋体" w:cs="Times New Roman"/>
                <w:color w:val="auto"/>
                <w:kern w:val="2"/>
                <w:sz w:val="24"/>
                <w:szCs w:val="24"/>
                <w:lang w:val="en-US" w:eastAsia="zh-CN" w:bidi="ar-SA"/>
              </w:rPr>
              <w:t>用于项目周边林地灌溉</w:t>
            </w:r>
            <w:r>
              <w:rPr>
                <w:rFonts w:hint="default" w:ascii="Times New Roman" w:hAnsi="Times New Roman" w:eastAsia="宋体" w:cs="Times New Roman"/>
                <w:color w:val="auto"/>
                <w:kern w:val="2"/>
                <w:sz w:val="24"/>
                <w:szCs w:val="24"/>
                <w:lang w:val="en-US" w:eastAsia="zh-CN" w:bidi="ar-SA"/>
              </w:rPr>
              <w:t>，故项目正常情况下，不会对周边地下水环境造成不良影响。同时，用地范围内及周边无集中式地下水饮用水水源、温泉等特殊地下水资源保护区，故本项目不开展地下水环境现状调查。</w:t>
            </w:r>
          </w:p>
        </w:tc>
      </w:tr>
    </w:tbl>
    <w:p w14:paraId="632C23D3">
      <w:pPr>
        <w:rPr>
          <w:rFonts w:hint="default" w:ascii="Times New Roman" w:hAnsi="Times New Roman" w:eastAsia="宋体" w:cs="Times New Roman"/>
          <w:color w:val="auto"/>
          <w:kern w:val="0"/>
          <w:szCs w:val="21"/>
        </w:rPr>
        <w:sectPr>
          <w:pgSz w:w="11907" w:h="16840"/>
          <w:pgMar w:top="1701" w:right="1531" w:bottom="2127"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35"/>
        <w:tblW w:w="901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76"/>
        <w:gridCol w:w="8243"/>
      </w:tblGrid>
      <w:tr w14:paraId="506EEC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950" w:hRule="atLeast"/>
          <w:jc w:val="center"/>
        </w:trPr>
        <w:tc>
          <w:tcPr>
            <w:tcW w:w="776" w:type="dxa"/>
            <w:vAlign w:val="center"/>
          </w:tcPr>
          <w:p w14:paraId="392202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环境</w:t>
            </w:r>
          </w:p>
          <w:p w14:paraId="65E174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保护</w:t>
            </w:r>
          </w:p>
          <w:p w14:paraId="65208D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目标</w:t>
            </w:r>
          </w:p>
        </w:tc>
        <w:tc>
          <w:tcPr>
            <w:tcW w:w="8243" w:type="dxa"/>
            <w:vAlign w:val="center"/>
          </w:tcPr>
          <w:p w14:paraId="7A2C398F">
            <w:pPr>
              <w:pStyle w:val="80"/>
              <w:keepNext w:val="0"/>
              <w:keepLines w:val="0"/>
              <w:suppressLineNumbers w:val="0"/>
              <w:spacing w:before="120" w:beforeLines="50" w:beforeAutospacing="0" w:after="0" w:afterAutospacing="0" w:line="360" w:lineRule="auto"/>
              <w:ind w:left="0" w:right="0" w:firstLine="422"/>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1、大气环境</w:t>
            </w:r>
          </w:p>
          <w:p w14:paraId="1CDAD384">
            <w:pPr>
              <w:pStyle w:val="80"/>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项目厂界外500米范围内大气环境保护目标</w:t>
            </w:r>
            <w:r>
              <w:rPr>
                <w:rFonts w:hint="eastAsia" w:ascii="Times New Roman" w:hAnsi="Times New Roman" w:eastAsia="宋体" w:cs="Times New Roman"/>
                <w:color w:val="auto"/>
                <w:sz w:val="24"/>
                <w:szCs w:val="24"/>
                <w:lang w:val="en-US" w:eastAsia="zh-CN"/>
              </w:rPr>
              <w:t>为横埇村、塘尾村</w:t>
            </w:r>
            <w:r>
              <w:rPr>
                <w:rFonts w:hint="default" w:ascii="Times New Roman" w:hAnsi="Times New Roman" w:eastAsia="宋体" w:cs="Times New Roman"/>
                <w:color w:val="auto"/>
                <w:sz w:val="24"/>
                <w:szCs w:val="24"/>
              </w:rPr>
              <w:t>。</w:t>
            </w:r>
          </w:p>
          <w:p w14:paraId="25985E7E">
            <w:pPr>
              <w:pStyle w:val="80"/>
              <w:keepNext w:val="0"/>
              <w:keepLines w:val="0"/>
              <w:suppressLineNumbers w:val="0"/>
              <w:spacing w:before="0" w:beforeAutospacing="0" w:after="0" w:afterAutospacing="0" w:line="360" w:lineRule="auto"/>
              <w:ind w:left="0" w:right="0" w:firstLine="422"/>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2、声环境</w:t>
            </w:r>
          </w:p>
          <w:p w14:paraId="1BA9789C">
            <w:pPr>
              <w:pStyle w:val="80"/>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项目厂界外50米范围内不存在声环境保护目标。</w:t>
            </w:r>
          </w:p>
          <w:p w14:paraId="492C905F">
            <w:pPr>
              <w:keepNext w:val="0"/>
              <w:keepLines w:val="0"/>
              <w:widowControl/>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3、地下水环境</w:t>
            </w:r>
          </w:p>
          <w:p w14:paraId="20A36DE1">
            <w:pPr>
              <w:keepNext w:val="0"/>
              <w:keepLines w:val="0"/>
              <w:widowControl/>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项目厂界外500米范围内的不涉及地下水集中式饮用水水源和热水、矿泉水、温泉等特殊地下水资源。</w:t>
            </w:r>
          </w:p>
          <w:p w14:paraId="7EAA51DE">
            <w:pPr>
              <w:keepNext w:val="0"/>
              <w:keepLines w:val="0"/>
              <w:widowControl/>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4、生态环境</w:t>
            </w:r>
          </w:p>
          <w:p w14:paraId="49769FBC">
            <w:pPr>
              <w:pStyle w:val="10"/>
              <w:keepNext w:val="0"/>
              <w:keepLines w:val="0"/>
              <w:suppressLineNumbers w:val="0"/>
              <w:adjustRightInd w:val="0"/>
              <w:snapToGrid w:val="0"/>
              <w:spacing w:before="0" w:beforeAutospacing="0" w:afterAutospacing="0" w:line="360" w:lineRule="auto"/>
              <w:ind w:left="0" w:leftChars="0" w:right="0" w:firstLine="480" w:firstLineChars="20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项目无生态环境保护目标。</w:t>
            </w:r>
            <w:r>
              <w:rPr>
                <w:rFonts w:hint="default"/>
                <w:color w:val="auto"/>
                <w:sz w:val="21"/>
              </w:rPr>
              <mc:AlternateContent>
                <mc:Choice Requires="wpg">
                  <w:drawing>
                    <wp:anchor distT="0" distB="0" distL="114300" distR="114300" simplePos="0" relativeHeight="251665408" behindDoc="0" locked="0" layoutInCell="1" allowOverlap="1">
                      <wp:simplePos x="0" y="0"/>
                      <wp:positionH relativeFrom="column">
                        <wp:posOffset>8960485</wp:posOffset>
                      </wp:positionH>
                      <wp:positionV relativeFrom="paragraph">
                        <wp:posOffset>789305</wp:posOffset>
                      </wp:positionV>
                      <wp:extent cx="370840" cy="596265"/>
                      <wp:effectExtent l="0" t="0" r="0" b="9525"/>
                      <wp:wrapNone/>
                      <wp:docPr id="19" name="组合 19"/>
                      <wp:cNvGraphicFramePr/>
                      <a:graphic xmlns:a="http://schemas.openxmlformats.org/drawingml/2006/main">
                        <a:graphicData uri="http://schemas.microsoft.com/office/word/2010/wordprocessingGroup">
                          <wpg:wgp>
                            <wpg:cNvGrpSpPr/>
                            <wpg:grpSpPr>
                              <a:xfrm>
                                <a:off x="0" y="0"/>
                                <a:ext cx="370840" cy="596265"/>
                                <a:chOff x="14979" y="1425174"/>
                                <a:chExt cx="584" cy="939"/>
                              </a:xfrm>
                            </wpg:grpSpPr>
                            <wps:wsp>
                              <wps:cNvPr id="17" name="文本框 17"/>
                              <wps:cNvSpPr txBox="1"/>
                              <wps:spPr>
                                <a:xfrm>
                                  <a:off x="14979" y="1425174"/>
                                  <a:ext cx="585" cy="517"/>
                                </a:xfrm>
                                <a:prstGeom prst="rect">
                                  <a:avLst/>
                                </a:prstGeom>
                                <a:noFill/>
                                <a:ln>
                                  <a:noFill/>
                                </a:ln>
                              </wps:spPr>
                              <wps:txbx>
                                <w:txbxContent>
                                  <w:p w14:paraId="557E8BDC">
                                    <w:pPr>
                                      <w:rPr>
                                        <w:rFonts w:hint="eastAsia" w:eastAsia="宋体"/>
                                        <w:b/>
                                        <w:bCs/>
                                        <w:color w:val="C00000"/>
                                        <w:sz w:val="24"/>
                                        <w:szCs w:val="24"/>
                                        <w:lang w:val="en-US" w:eastAsia="zh-CN"/>
                                      </w:rPr>
                                    </w:pPr>
                                    <w:r>
                                      <w:rPr>
                                        <w:rFonts w:hint="eastAsia"/>
                                        <w:b/>
                                        <w:bCs/>
                                        <w:color w:val="C00000"/>
                                        <w:sz w:val="24"/>
                                        <w:szCs w:val="24"/>
                                        <w:lang w:val="en-US" w:eastAsia="zh-CN"/>
                                      </w:rPr>
                                      <w:t>北</w:t>
                                    </w:r>
                                  </w:p>
                                </w:txbxContent>
                              </wps:txbx>
                              <wps:bodyPr upright="1"/>
                            </wps:wsp>
                            <wps:wsp>
                              <wps:cNvPr id="18" name="上箭头 18"/>
                              <wps:cNvSpPr/>
                              <wps:spPr>
                                <a:xfrm>
                                  <a:off x="15177" y="1425613"/>
                                  <a:ext cx="184" cy="500"/>
                                </a:xfrm>
                                <a:prstGeom prst="upArrow">
                                  <a:avLst>
                                    <a:gd name="adj1" fmla="val 50000"/>
                                    <a:gd name="adj2" fmla="val 67934"/>
                                  </a:avLst>
                                </a:prstGeom>
                                <a:solidFill>
                                  <a:srgbClr val="C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id="_x0000_s1026" o:spid="_x0000_s1026" o:spt="203" style="position:absolute;left:0pt;margin-left:705.55pt;margin-top:62.15pt;height:46.95pt;width:29.2pt;z-index:251665408;mso-width-relative:page;mso-height-relative:page;" coordorigin="14979,1425174" coordsize="584,939" o:gfxdata="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">
                      <o:lock v:ext="edit" aspectratio="f"/>
                      <v:shape id="_x0000_s1026" o:spid="_x0000_s1026" o:spt="202" type="#_x0000_t202" style="position:absolute;left:14979;top:1425174;height:517;width:585;" filled="f" stroked="f" coordsize="21600,21600" o:gfxdata="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Foegr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557E8BDC">
                              <w:pPr>
                                <w:rPr>
                                  <w:rFonts w:hint="eastAsia" w:eastAsia="宋体"/>
                                  <w:b/>
                                  <w:bCs/>
                                  <w:color w:val="C00000"/>
                                  <w:sz w:val="24"/>
                                  <w:szCs w:val="24"/>
                                  <w:lang w:val="en-US" w:eastAsia="zh-CN"/>
                                </w:rPr>
                              </w:pPr>
                              <w:r>
                                <w:rPr>
                                  <w:rFonts w:hint="eastAsia"/>
                                  <w:b/>
                                  <w:bCs/>
                                  <w:color w:val="C00000"/>
                                  <w:sz w:val="24"/>
                                  <w:szCs w:val="24"/>
                                  <w:lang w:val="en-US" w:eastAsia="zh-CN"/>
                                </w:rPr>
                                <w:t>北</w:t>
                              </w:r>
                            </w:p>
                          </w:txbxContent>
                        </v:textbox>
                      </v:shape>
                      <v:shape id="_x0000_s1026" o:spid="_x0000_s1026" o:spt="68" type="#_x0000_t68" style="position:absolute;left:15177;top:1425613;height:500;width:184;" fillcolor="#C00000" filled="t" stroked="t" coordsize="21600,21600" o:gfxdata="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wvx4W8AAAA&#10;2wAAAA8AAAAAAAAAAQAgAAAAIgAAAGRycy9kb3ducmV2LnhtbFBLAQIUABQAAAAIAIdO4kAzLwWe&#10;OwAAADkAAAAQAAAAAAAAAAEAIAAAAAsBAABkcnMvc2hhcGV4bWwueG1sUEsFBgAAAAAGAAYAWwEA&#10;ALUDAAAAAA==&#10;" adj="5399,5400">
                        <v:fill on="t" focussize="0,0"/>
                        <v:stroke color="#000000" joinstyle="miter"/>
                        <v:imagedata o:title=""/>
                        <o:lock v:ext="edit" aspectratio="f"/>
                      </v:shape>
                    </v:group>
                  </w:pict>
                </mc:Fallback>
              </mc:AlternateContent>
            </w:r>
          </w:p>
          <w:p w14:paraId="799E1A7F">
            <w:pPr>
              <w:pStyle w:val="34"/>
              <w:keepNext w:val="0"/>
              <w:keepLines w:val="0"/>
              <w:suppressLineNumbers w:val="0"/>
              <w:spacing w:before="0" w:beforeAutospacing="0" w:afterAutospacing="0" w:line="240" w:lineRule="auto"/>
              <w:ind w:right="0" w:firstLine="2108" w:firstLineChars="1000"/>
              <w:jc w:val="both"/>
              <w:rPr>
                <w:rFonts w:hint="eastAsia" w:ascii="Times New Roman" w:hAnsi="Times New Roman" w:eastAsia="宋体" w:cs="Times New Roman"/>
                <w:b/>
                <w:bCs/>
                <w:color w:val="auto"/>
                <w:kern w:val="2"/>
                <w:sz w:val="21"/>
                <w:szCs w:val="21"/>
                <w:lang w:val="en-US" w:eastAsia="zh-CN"/>
              </w:rPr>
            </w:pPr>
            <w:r>
              <w:rPr>
                <w:rFonts w:hint="eastAsia" w:ascii="Times New Roman" w:hAnsi="Times New Roman" w:eastAsia="宋体" w:cs="Times New Roman"/>
                <w:b/>
                <w:bCs/>
                <w:color w:val="auto"/>
                <w:kern w:val="2"/>
                <w:sz w:val="21"/>
                <w:szCs w:val="21"/>
                <w:lang w:val="en-US" w:eastAsia="zh-CN"/>
              </w:rPr>
              <w:t>表3-2 环境保护目标一览表</w:t>
            </w:r>
          </w:p>
          <w:tbl>
            <w:tblPr>
              <w:tblStyle w:val="36"/>
              <w:tblW w:w="7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4"/>
              <w:gridCol w:w="1965"/>
              <w:gridCol w:w="1965"/>
              <w:gridCol w:w="1965"/>
            </w:tblGrid>
            <w:tr w14:paraId="2D43E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964" w:type="dxa"/>
                  <w:vAlign w:val="center"/>
                </w:tcPr>
                <w:p w14:paraId="664A429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保护目标</w:t>
                  </w:r>
                </w:p>
              </w:tc>
              <w:tc>
                <w:tcPr>
                  <w:tcW w:w="1965" w:type="dxa"/>
                  <w:vAlign w:val="center"/>
                </w:tcPr>
                <w:p w14:paraId="0C99FD2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保护内容</w:t>
                  </w:r>
                </w:p>
              </w:tc>
              <w:tc>
                <w:tcPr>
                  <w:tcW w:w="1965" w:type="dxa"/>
                  <w:vAlign w:val="center"/>
                </w:tcPr>
                <w:p w14:paraId="5F6E6C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与本项目相对方位</w:t>
                  </w:r>
                </w:p>
              </w:tc>
              <w:tc>
                <w:tcPr>
                  <w:tcW w:w="1965" w:type="dxa"/>
                  <w:vAlign w:val="center"/>
                </w:tcPr>
                <w:p w14:paraId="109F19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相对距离</w:t>
                  </w:r>
                </w:p>
              </w:tc>
            </w:tr>
            <w:tr w14:paraId="60C1A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964" w:type="dxa"/>
                  <w:vAlign w:val="center"/>
                </w:tcPr>
                <w:p w14:paraId="2BFFA6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横埇村</w:t>
                  </w:r>
                </w:p>
              </w:tc>
              <w:tc>
                <w:tcPr>
                  <w:tcW w:w="1965" w:type="dxa"/>
                  <w:vAlign w:val="center"/>
                </w:tcPr>
                <w:p w14:paraId="01EBAD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大气环境</w:t>
                  </w:r>
                </w:p>
              </w:tc>
              <w:tc>
                <w:tcPr>
                  <w:tcW w:w="1965" w:type="dxa"/>
                  <w:vAlign w:val="center"/>
                </w:tcPr>
                <w:p w14:paraId="65544E4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北</w:t>
                  </w:r>
                  <w:r>
                    <w:rPr>
                      <w:rFonts w:hint="default" w:ascii="Times New Roman" w:hAnsi="Times New Roman" w:eastAsia="宋体" w:cs="Times New Roman"/>
                      <w:color w:val="auto"/>
                      <w:sz w:val="21"/>
                      <w:szCs w:val="21"/>
                      <w:vertAlign w:val="baseline"/>
                      <w:lang w:val="en-US" w:eastAsia="zh-CN"/>
                    </w:rPr>
                    <w:t>侧</w:t>
                  </w:r>
                </w:p>
              </w:tc>
              <w:tc>
                <w:tcPr>
                  <w:tcW w:w="1965" w:type="dxa"/>
                  <w:vAlign w:val="center"/>
                </w:tcPr>
                <w:p w14:paraId="6E7E653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115</w:t>
                  </w:r>
                  <w:r>
                    <w:rPr>
                      <w:rFonts w:hint="default" w:ascii="Times New Roman" w:hAnsi="Times New Roman" w:eastAsia="宋体" w:cs="Times New Roman"/>
                      <w:color w:val="auto"/>
                      <w:sz w:val="21"/>
                      <w:szCs w:val="21"/>
                      <w:vertAlign w:val="baseline"/>
                      <w:lang w:val="en-US" w:eastAsia="zh-CN"/>
                    </w:rPr>
                    <w:t>m</w:t>
                  </w:r>
                </w:p>
              </w:tc>
            </w:tr>
            <w:tr w14:paraId="7EB2C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964" w:type="dxa"/>
                  <w:vAlign w:val="center"/>
                </w:tcPr>
                <w:p w14:paraId="73351FB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塘尾村</w:t>
                  </w:r>
                </w:p>
              </w:tc>
              <w:tc>
                <w:tcPr>
                  <w:tcW w:w="1965" w:type="dxa"/>
                  <w:vAlign w:val="center"/>
                </w:tcPr>
                <w:p w14:paraId="3B3379F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大气环境</w:t>
                  </w:r>
                </w:p>
              </w:tc>
              <w:tc>
                <w:tcPr>
                  <w:tcW w:w="1965" w:type="dxa"/>
                  <w:vAlign w:val="center"/>
                </w:tcPr>
                <w:p w14:paraId="51A9DFD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东</w:t>
                  </w:r>
                  <w:r>
                    <w:rPr>
                      <w:rFonts w:hint="default" w:ascii="Times New Roman" w:hAnsi="Times New Roman" w:eastAsia="宋体" w:cs="Times New Roman"/>
                      <w:color w:val="auto"/>
                      <w:sz w:val="21"/>
                      <w:szCs w:val="21"/>
                      <w:vertAlign w:val="baseline"/>
                      <w:lang w:val="en-US" w:eastAsia="zh-CN"/>
                    </w:rPr>
                    <w:t>侧</w:t>
                  </w:r>
                </w:p>
              </w:tc>
              <w:tc>
                <w:tcPr>
                  <w:tcW w:w="1965" w:type="dxa"/>
                  <w:vAlign w:val="center"/>
                </w:tcPr>
                <w:p w14:paraId="784BEB5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326</w:t>
                  </w:r>
                  <w:r>
                    <w:rPr>
                      <w:rFonts w:hint="default" w:ascii="Times New Roman" w:hAnsi="Times New Roman" w:eastAsia="宋体" w:cs="Times New Roman"/>
                      <w:color w:val="auto"/>
                      <w:sz w:val="21"/>
                      <w:szCs w:val="21"/>
                      <w:vertAlign w:val="baseline"/>
                      <w:lang w:val="en-US" w:eastAsia="zh-CN"/>
                    </w:rPr>
                    <w:t>m</w:t>
                  </w:r>
                </w:p>
              </w:tc>
            </w:tr>
          </w:tbl>
          <w:p w14:paraId="3EE1E59B">
            <w:pPr>
              <w:keepNext w:val="0"/>
              <w:keepLines w:val="0"/>
              <w:suppressLineNumbers w:val="0"/>
              <w:spacing w:before="0" w:beforeAutospacing="0" w:after="0" w:afterAutospacing="0"/>
              <w:ind w:left="0" w:right="0"/>
              <w:rPr>
                <w:rFonts w:hint="default"/>
                <w:color w:val="auto"/>
                <w:lang w:val="en-US" w:eastAsia="zh-CN"/>
              </w:rPr>
            </w:pPr>
          </w:p>
          <w:p w14:paraId="1C3F00BE">
            <w:pPr>
              <w:pStyle w:val="34"/>
              <w:keepNext w:val="0"/>
              <w:keepLines w:val="0"/>
              <w:suppressLineNumbers w:val="0"/>
              <w:spacing w:before="0" w:beforeAutospacing="0" w:afterAutospacing="0"/>
              <w:ind w:left="0" w:leftChars="0" w:right="0" w:firstLine="0" w:firstLineChars="0"/>
              <w:jc w:val="both"/>
              <w:rPr>
                <w:rFonts w:hint="eastAsia" w:ascii="Times New Roman" w:hAnsi="Times New Roman" w:eastAsia="宋体" w:cs="Times New Roman"/>
                <w:b/>
                <w:bCs w:val="0"/>
                <w:color w:val="auto"/>
                <w:kern w:val="2"/>
                <w:sz w:val="21"/>
                <w:szCs w:val="21"/>
                <w:lang w:val="en-US" w:eastAsia="zh-CN" w:bidi="ar-SA"/>
              </w:rPr>
            </w:pPr>
            <w:r>
              <w:rPr>
                <w:rFonts w:hint="default"/>
                <w:color w:val="auto"/>
                <w:sz w:val="21"/>
              </w:rPr>
              <mc:AlternateContent>
                <mc:Choice Requires="wps">
                  <w:drawing>
                    <wp:anchor distT="0" distB="0" distL="114300" distR="114300" simplePos="0" relativeHeight="251668480" behindDoc="0" locked="0" layoutInCell="1" allowOverlap="1">
                      <wp:simplePos x="0" y="0"/>
                      <wp:positionH relativeFrom="column">
                        <wp:posOffset>4732020</wp:posOffset>
                      </wp:positionH>
                      <wp:positionV relativeFrom="paragraph">
                        <wp:posOffset>385445</wp:posOffset>
                      </wp:positionV>
                      <wp:extent cx="189230" cy="323850"/>
                      <wp:effectExtent l="15240" t="8890" r="24130" b="10160"/>
                      <wp:wrapNone/>
                      <wp:docPr id="25" name="上箭头 25"/>
                      <wp:cNvGraphicFramePr/>
                      <a:graphic xmlns:a="http://schemas.openxmlformats.org/drawingml/2006/main">
                        <a:graphicData uri="http://schemas.microsoft.com/office/word/2010/wordprocessingShape">
                          <wps:wsp>
                            <wps:cNvSpPr/>
                            <wps:spPr>
                              <a:xfrm>
                                <a:off x="6019800" y="5540375"/>
                                <a:ext cx="189230" cy="323850"/>
                              </a:xfrm>
                              <a:prstGeom prst="upArrow">
                                <a:avLst/>
                              </a:prstGeom>
                              <a:solidFill>
                                <a:srgbClr val="C0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372.6pt;margin-top:30.35pt;height:25.5pt;width:14.9pt;z-index:251668480;v-text-anchor:middle;mso-width-relative:page;mso-height-relative:page;" fillcolor="#C00000" filled="t" stroked="t" coordsize="21600,21600" o:gfxdata="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Hm3SHbaAAAACgEAAA8AAAAAAAAAAQAgAAAAIgAAAGRycy9kb3ducmV2LnhtbFBLAQIUABQA&#10;AAAIAIdO4kA3k7xQmQIAACkFAAAOAAAAAAAAAAEAIAAAACkBAABkcnMvZTJvRG9jLnhtbFBLBQYA&#10;AAAABgAGAFkBAAA0BgAAAAA=&#10;" adj="6310,5400">
                      <v:fill on="t" focussize="0,0"/>
                      <v:stroke weight="1pt" color="#2E75B6 [2404]" miterlimit="8" joinstyle="miter"/>
                      <v:imagedata o:title=""/>
                      <o:lock v:ext="edit" aspectratio="f"/>
                    </v:shape>
                  </w:pict>
                </mc:Fallback>
              </mc:AlternateContent>
            </w:r>
            <w:r>
              <w:rPr>
                <w:rFonts w:hint="default"/>
                <w:color w:val="auto"/>
                <w:sz w:val="21"/>
              </w:rPr>
              <mc:AlternateContent>
                <mc:Choice Requires="wps">
                  <w:drawing>
                    <wp:anchor distT="0" distB="0" distL="114300" distR="114300" simplePos="0" relativeHeight="251667456" behindDoc="0" locked="0" layoutInCell="1" allowOverlap="1">
                      <wp:simplePos x="0" y="0"/>
                      <wp:positionH relativeFrom="column">
                        <wp:posOffset>4657725</wp:posOffset>
                      </wp:positionH>
                      <wp:positionV relativeFrom="paragraph">
                        <wp:posOffset>46355</wp:posOffset>
                      </wp:positionV>
                      <wp:extent cx="391795" cy="752475"/>
                      <wp:effectExtent l="0" t="0" r="0" b="0"/>
                      <wp:wrapNone/>
                      <wp:docPr id="24" name="文本框 24"/>
                      <wp:cNvGraphicFramePr/>
                      <a:graphic xmlns:a="http://schemas.openxmlformats.org/drawingml/2006/main">
                        <a:graphicData uri="http://schemas.microsoft.com/office/word/2010/wordprocessingShape">
                          <wps:wsp>
                            <wps:cNvSpPr txBox="1"/>
                            <wps:spPr>
                              <a:xfrm>
                                <a:off x="5786755" y="5064125"/>
                                <a:ext cx="391795" cy="7524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0BC66">
                                  <w:pPr>
                                    <w:rPr>
                                      <w:rFonts w:eastAsia="宋体"/>
                                      <w:b/>
                                      <w:bCs/>
                                      <w:color w:val="C00000"/>
                                      <w:sz w:val="24"/>
                                    </w:rPr>
                                  </w:pPr>
                                  <w:r>
                                    <w:rPr>
                                      <w:rFonts w:hint="eastAsia"/>
                                      <w:b/>
                                      <w:bCs/>
                                      <w:color w:val="C00000"/>
                                      <w:sz w:val="24"/>
                                    </w:rPr>
                                    <w:t>北</w:t>
                                  </w:r>
                                </w:p>
                                <w:p w14:paraId="633921C5"/>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6.75pt;margin-top:3.65pt;height:59.25pt;width:30.85pt;z-index:251667456;mso-width-relative:page;mso-height-relative:page;" filled="f" stroked="f" coordsize="21600,21600" o:gfxdata="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tVEdX2QAAAAkBAAAPAAAAAAAA&#10;AAEAIAAAACIAAABkcnMvZG93bnJldi54bWxQSwECFAAUAAAACACHTuJAraKHmUoCAABzBAAADgAA&#10;AAAAAAABACAAAAAoAQAAZHJzL2Uyb0RvYy54bWxQSwUGAAAAAAYABgBZAQAA5AUAAAAA&#10;">
                      <v:fill on="f" focussize="0,0"/>
                      <v:stroke on="f" weight="0.5pt"/>
                      <v:imagedata o:title=""/>
                      <o:lock v:ext="edit" aspectratio="f"/>
                      <v:textbox>
                        <w:txbxContent>
                          <w:p w14:paraId="1180BC66">
                            <w:pPr>
                              <w:rPr>
                                <w:rFonts w:eastAsia="宋体"/>
                                <w:b/>
                                <w:bCs/>
                                <w:color w:val="C00000"/>
                                <w:sz w:val="24"/>
                              </w:rPr>
                            </w:pPr>
                            <w:r>
                              <w:rPr>
                                <w:rFonts w:hint="eastAsia"/>
                                <w:b/>
                                <w:bCs/>
                                <w:color w:val="C00000"/>
                                <w:sz w:val="24"/>
                              </w:rPr>
                              <w:t>北</w:t>
                            </w:r>
                          </w:p>
                          <w:p w14:paraId="633921C5"/>
                        </w:txbxContent>
                      </v:textbox>
                    </v:shape>
                  </w:pict>
                </mc:Fallback>
              </mc:AlternateContent>
            </w:r>
            <w:r>
              <w:rPr>
                <w:rFonts w:hint="default"/>
                <w:color w:val="auto"/>
                <w:sz w:val="21"/>
              </w:rPr>
              <mc:AlternateContent>
                <mc:Choice Requires="wpg">
                  <w:drawing>
                    <wp:anchor distT="0" distB="0" distL="114300" distR="114300" simplePos="0" relativeHeight="251664384" behindDoc="0" locked="0" layoutInCell="1" allowOverlap="1">
                      <wp:simplePos x="0" y="0"/>
                      <wp:positionH relativeFrom="column">
                        <wp:posOffset>8960485</wp:posOffset>
                      </wp:positionH>
                      <wp:positionV relativeFrom="paragraph">
                        <wp:posOffset>789305</wp:posOffset>
                      </wp:positionV>
                      <wp:extent cx="370840" cy="596265"/>
                      <wp:effectExtent l="0" t="0" r="0" b="9525"/>
                      <wp:wrapNone/>
                      <wp:docPr id="15" name="组合 15"/>
                      <wp:cNvGraphicFramePr/>
                      <a:graphic xmlns:a="http://schemas.openxmlformats.org/drawingml/2006/main">
                        <a:graphicData uri="http://schemas.microsoft.com/office/word/2010/wordprocessingGroup">
                          <wpg:wgp>
                            <wpg:cNvGrpSpPr/>
                            <wpg:grpSpPr>
                              <a:xfrm>
                                <a:off x="0" y="0"/>
                                <a:ext cx="370840" cy="596265"/>
                                <a:chOff x="14979" y="1425174"/>
                                <a:chExt cx="584" cy="939"/>
                              </a:xfrm>
                            </wpg:grpSpPr>
                            <wps:wsp>
                              <wps:cNvPr id="12" name="文本框 12"/>
                              <wps:cNvSpPr txBox="1"/>
                              <wps:spPr>
                                <a:xfrm>
                                  <a:off x="14979" y="1425174"/>
                                  <a:ext cx="585" cy="517"/>
                                </a:xfrm>
                                <a:prstGeom prst="rect">
                                  <a:avLst/>
                                </a:prstGeom>
                                <a:noFill/>
                                <a:ln>
                                  <a:noFill/>
                                </a:ln>
                              </wps:spPr>
                              <wps:txbx>
                                <w:txbxContent>
                                  <w:p w14:paraId="1ED9E825">
                                    <w:pPr>
                                      <w:rPr>
                                        <w:rFonts w:hint="eastAsia" w:eastAsia="宋体"/>
                                        <w:b/>
                                        <w:bCs/>
                                        <w:color w:val="C00000"/>
                                        <w:sz w:val="24"/>
                                        <w:szCs w:val="24"/>
                                        <w:lang w:val="en-US" w:eastAsia="zh-CN"/>
                                      </w:rPr>
                                    </w:pPr>
                                    <w:r>
                                      <w:rPr>
                                        <w:rFonts w:hint="eastAsia"/>
                                        <w:b/>
                                        <w:bCs/>
                                        <w:color w:val="C00000"/>
                                        <w:sz w:val="24"/>
                                        <w:szCs w:val="24"/>
                                        <w:lang w:val="en-US" w:eastAsia="zh-CN"/>
                                      </w:rPr>
                                      <w:t>北</w:t>
                                    </w:r>
                                  </w:p>
                                </w:txbxContent>
                              </wps:txbx>
                              <wps:bodyPr upright="1"/>
                            </wps:wsp>
                            <wps:wsp>
                              <wps:cNvPr id="14" name="上箭头 14"/>
                              <wps:cNvSpPr/>
                              <wps:spPr>
                                <a:xfrm>
                                  <a:off x="15177" y="1425613"/>
                                  <a:ext cx="184" cy="500"/>
                                </a:xfrm>
                                <a:prstGeom prst="upArrow">
                                  <a:avLst>
                                    <a:gd name="adj1" fmla="val 50000"/>
                                    <a:gd name="adj2" fmla="val 67934"/>
                                  </a:avLst>
                                </a:prstGeom>
                                <a:solidFill>
                                  <a:srgbClr val="C00000"/>
                                </a:solidFill>
                                <a:ln w="9525" cap="flat" cmpd="sng">
                                  <a:solidFill>
                                    <a:srgbClr val="000000"/>
                                  </a:solidFill>
                                  <a:prstDash val="solid"/>
                                  <a:miter/>
                                  <a:headEnd type="none" w="med" len="med"/>
                                  <a:tailEnd type="none" w="med" len="med"/>
                                </a:ln>
                              </wps:spPr>
                              <wps:bodyPr upright="1"/>
                            </wps:wsp>
                          </wpg:wgp>
                        </a:graphicData>
                      </a:graphic>
                    </wp:anchor>
                  </w:drawing>
                </mc:Choice>
                <mc:Fallback>
                  <w:pict>
                    <v:group id="_x0000_s1026" o:spid="_x0000_s1026" o:spt="203" style="position:absolute;left:0pt;margin-left:705.55pt;margin-top:62.15pt;height:46.95pt;width:29.2pt;z-index:251664384;mso-width-relative:page;mso-height-relative:page;" coordorigin="14979,1425174" coordsize="584,939" o:gfxdata="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">
                      <o:lock v:ext="edit" aspectratio="f"/>
                      <v:shape id="_x0000_s1026" o:spid="_x0000_s1026" o:spt="202" type="#_x0000_t202" style="position:absolute;left:14979;top:1425174;height:517;width:585;" filled="f" stroked="f" coordsize="21600,21600" o:gfxdata="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wtvRq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1ED9E825">
                              <w:pPr>
                                <w:rPr>
                                  <w:rFonts w:hint="eastAsia" w:eastAsia="宋体"/>
                                  <w:b/>
                                  <w:bCs/>
                                  <w:color w:val="C00000"/>
                                  <w:sz w:val="24"/>
                                  <w:szCs w:val="24"/>
                                  <w:lang w:val="en-US" w:eastAsia="zh-CN"/>
                                </w:rPr>
                              </w:pPr>
                              <w:r>
                                <w:rPr>
                                  <w:rFonts w:hint="eastAsia"/>
                                  <w:b/>
                                  <w:bCs/>
                                  <w:color w:val="C00000"/>
                                  <w:sz w:val="24"/>
                                  <w:szCs w:val="24"/>
                                  <w:lang w:val="en-US" w:eastAsia="zh-CN"/>
                                </w:rPr>
                                <w:t>北</w:t>
                              </w:r>
                            </w:p>
                          </w:txbxContent>
                        </v:textbox>
                      </v:shape>
                      <v:shape id="_x0000_s1026" o:spid="_x0000_s1026" o:spt="68" type="#_x0000_t68" style="position:absolute;left:15177;top:1425613;height:500;width:184;" fillcolor="#C00000" filled="t" stroked="t" coordsize="21600,21600" o:gfxdata="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Ys2AugAAANsA&#10;AAAPAAAAAAAAAAEAIAAAACIAAABkcnMvZG93bnJldi54bWxQSwECFAAUAAAACACHTuJAMy8FnjsA&#10;AAA5AAAAEAAAAAAAAAABACAAAAAJAQAAZHJzL3NoYXBleG1sLnhtbFBLBQYAAAAABgAGAFsBAACz&#10;AwAAAAA=&#10;" adj="5399,5400">
                        <v:fill on="t" focussize="0,0"/>
                        <v:stroke color="#000000" joinstyle="miter"/>
                        <v:imagedata o:title=""/>
                        <o:lock v:ext="edit" aspectratio="f"/>
                      </v:shape>
                    </v:group>
                  </w:pict>
                </mc:Fallback>
              </mc:AlternateContent>
            </w:r>
            <w:r>
              <w:rPr>
                <w:rFonts w:hint="default"/>
                <w:color w:val="auto"/>
              </w:rPr>
              <mc:AlternateContent>
                <mc:Choice Requires="wps">
                  <w:drawing>
                    <wp:anchor distT="0" distB="0" distL="114300" distR="114300" simplePos="0" relativeHeight="251666432" behindDoc="0" locked="0" layoutInCell="1" allowOverlap="1">
                      <wp:simplePos x="0" y="0"/>
                      <wp:positionH relativeFrom="column">
                        <wp:posOffset>7668260</wp:posOffset>
                      </wp:positionH>
                      <wp:positionV relativeFrom="paragraph">
                        <wp:posOffset>-3608705</wp:posOffset>
                      </wp:positionV>
                      <wp:extent cx="371475" cy="32829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371475" cy="328295"/>
                              </a:xfrm>
                              <a:prstGeom prst="rect">
                                <a:avLst/>
                              </a:prstGeom>
                              <a:noFill/>
                              <a:ln>
                                <a:noFill/>
                              </a:ln>
                            </wps:spPr>
                            <wps:txbx>
                              <w:txbxContent>
                                <w:p w14:paraId="2D8E00CB">
                                  <w:pPr>
                                    <w:rPr>
                                      <w:rFonts w:hint="eastAsia" w:eastAsia="宋体"/>
                                      <w:b/>
                                      <w:bCs/>
                                      <w:color w:val="C00000"/>
                                      <w:sz w:val="24"/>
                                      <w:szCs w:val="24"/>
                                      <w:lang w:val="en-US" w:eastAsia="zh-CN"/>
                                    </w:rPr>
                                  </w:pPr>
                                  <w:r>
                                    <w:rPr>
                                      <w:rFonts w:hint="eastAsia"/>
                                      <w:b/>
                                      <w:bCs/>
                                      <w:color w:val="C00000"/>
                                      <w:sz w:val="24"/>
                                      <w:szCs w:val="24"/>
                                      <w:lang w:val="en-US" w:eastAsia="zh-CN"/>
                                    </w:rPr>
                                    <w:t>北</w:t>
                                  </w:r>
                                </w:p>
                              </w:txbxContent>
                            </wps:txbx>
                            <wps:bodyPr upright="1"/>
                          </wps:wsp>
                        </a:graphicData>
                      </a:graphic>
                    </wp:anchor>
                  </w:drawing>
                </mc:Choice>
                <mc:Fallback>
                  <w:pict>
                    <v:shape id="_x0000_s1026" o:spid="_x0000_s1026" o:spt="202" type="#_x0000_t202" style="position:absolute;left:0pt;margin-left:603.8pt;margin-top:-284.15pt;height:25.85pt;width:29.25pt;z-index:251666432;mso-width-relative:page;mso-height-relative:page;" filled="f" stroked="f" coordsize="21600,21600" o:gfxdata="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ODKv&#10;k9oAAAAPAQAADwAAAAAAAAABACAAAAAiAAAAZHJzL2Rvd25yZXYueG1sUEsBAhQAFAAAAAgAh07i&#10;QL3WR2muAQAATwMAAA4AAAAAAAAAAQAgAAAAKQEAAGRycy9lMm9Eb2MueG1sUEsFBgAAAAAGAAYA&#10;WQEAAEkFAAAAAA==&#10;">
                      <v:fill on="f" focussize="0,0"/>
                      <v:stroke on="f"/>
                      <v:imagedata o:title=""/>
                      <o:lock v:ext="edit" aspectratio="f"/>
                      <v:textbox>
                        <w:txbxContent>
                          <w:p w14:paraId="2D8E00CB">
                            <w:pPr>
                              <w:rPr>
                                <w:rFonts w:hint="eastAsia" w:eastAsia="宋体"/>
                                <w:b/>
                                <w:bCs/>
                                <w:color w:val="C00000"/>
                                <w:sz w:val="24"/>
                                <w:szCs w:val="24"/>
                                <w:lang w:val="en-US" w:eastAsia="zh-CN"/>
                              </w:rPr>
                            </w:pPr>
                            <w:r>
                              <w:rPr>
                                <w:rFonts w:hint="eastAsia"/>
                                <w:b/>
                                <w:bCs/>
                                <w:color w:val="C00000"/>
                                <w:sz w:val="24"/>
                                <w:szCs w:val="24"/>
                                <w:lang w:val="en-US" w:eastAsia="zh-CN"/>
                              </w:rPr>
                              <w:t>北</w:t>
                            </w:r>
                          </w:p>
                        </w:txbxContent>
                      </v:textbox>
                    </v:shape>
                  </w:pict>
                </mc:Fallback>
              </mc:AlternateContent>
            </w:r>
            <w:r>
              <w:rPr>
                <w:rFonts w:hint="default"/>
                <w:color w:val="auto"/>
              </w:rPr>
              <w:drawing>
                <wp:inline distT="0" distB="0" distL="114300" distR="114300">
                  <wp:extent cx="5095240" cy="2893060"/>
                  <wp:effectExtent l="0" t="0" r="10160" b="2540"/>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16"/>
                          <a:stretch>
                            <a:fillRect/>
                          </a:stretch>
                        </pic:blipFill>
                        <pic:spPr>
                          <a:xfrm>
                            <a:off x="0" y="0"/>
                            <a:ext cx="5095240" cy="2893060"/>
                          </a:xfrm>
                          <a:prstGeom prst="rect">
                            <a:avLst/>
                          </a:prstGeom>
                          <a:noFill/>
                          <a:ln>
                            <a:noFill/>
                          </a:ln>
                        </pic:spPr>
                      </pic:pic>
                    </a:graphicData>
                  </a:graphic>
                </wp:inline>
              </w:drawing>
            </w:r>
          </w:p>
          <w:p w14:paraId="2FD30864">
            <w:pPr>
              <w:pStyle w:val="34"/>
              <w:keepNext w:val="0"/>
              <w:keepLines w:val="0"/>
              <w:suppressLineNumbers w:val="0"/>
              <w:spacing w:before="0" w:beforeAutospacing="0" w:afterAutospacing="0"/>
              <w:ind w:right="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b/>
                <w:bCs w:val="0"/>
                <w:color w:val="auto"/>
                <w:kern w:val="2"/>
                <w:sz w:val="21"/>
                <w:szCs w:val="21"/>
                <w:lang w:val="en-US" w:eastAsia="zh-CN" w:bidi="ar-SA"/>
              </w:rPr>
              <w:t>图3-2 项目与周边环境敏感点相对位置图</w:t>
            </w:r>
          </w:p>
        </w:tc>
      </w:tr>
      <w:tr w14:paraId="4CBDC6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31" w:hRule="atLeast"/>
          <w:jc w:val="center"/>
        </w:trPr>
        <w:tc>
          <w:tcPr>
            <w:tcW w:w="776" w:type="dxa"/>
            <w:tcMar>
              <w:left w:w="28" w:type="dxa"/>
              <w:right w:w="28" w:type="dxa"/>
            </w:tcMar>
            <w:vAlign w:val="center"/>
          </w:tcPr>
          <w:p w14:paraId="56BFC3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污染</w:t>
            </w:r>
          </w:p>
          <w:p w14:paraId="03F572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物排</w:t>
            </w:r>
          </w:p>
          <w:p w14:paraId="0D5282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放控</w:t>
            </w:r>
          </w:p>
          <w:p w14:paraId="34A167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制标</w:t>
            </w:r>
          </w:p>
          <w:p w14:paraId="710705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准</w:t>
            </w:r>
          </w:p>
        </w:tc>
        <w:tc>
          <w:tcPr>
            <w:tcW w:w="8243" w:type="dxa"/>
            <w:vAlign w:val="center"/>
          </w:tcPr>
          <w:p w14:paraId="365DD959">
            <w:pPr>
              <w:pStyle w:val="10"/>
              <w:keepNext w:val="0"/>
              <w:keepLines w:val="0"/>
              <w:suppressLineNumbers w:val="0"/>
              <w:spacing w:before="0" w:beforeAutospacing="0" w:afterAutospacing="0"/>
              <w:ind w:left="0" w:leftChars="0" w:right="0"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1、水污染物排放标准</w:t>
            </w:r>
          </w:p>
          <w:p w14:paraId="26C15ABB">
            <w:pPr>
              <w:keepNext w:val="0"/>
              <w:keepLines w:val="0"/>
              <w:suppressLineNumbers w:val="0"/>
              <w:spacing w:before="0" w:beforeAutospacing="0" w:after="0" w:afterAutospacing="0" w:line="360" w:lineRule="auto"/>
              <w:ind w:left="0" w:right="0" w:firstLine="560"/>
              <w:jc w:val="both"/>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本项目车辆清洗废水执行《城市污水再生利用 工业用水水质》（GB/T 19923-2024）中的洗涤用水标准，回用于车辆清洗工序，不外排。生活</w:t>
            </w:r>
            <w:r>
              <w:rPr>
                <w:rFonts w:hint="default" w:ascii="Times New Roman" w:hAnsi="Times New Roman" w:eastAsia="宋体" w:cs="Times New Roman"/>
                <w:color w:val="auto"/>
                <w:kern w:val="2"/>
                <w:sz w:val="24"/>
                <w:szCs w:val="24"/>
                <w:lang w:val="en-US" w:eastAsia="zh-CN" w:bidi="ar-SA"/>
              </w:rPr>
              <w:t>污水经三级化粪池预处理达到《</w:t>
            </w:r>
            <w:r>
              <w:rPr>
                <w:rFonts w:hint="eastAsia" w:ascii="Times New Roman" w:hAnsi="Times New Roman" w:eastAsia="宋体" w:cs="Times New Roman"/>
                <w:color w:val="auto"/>
                <w:kern w:val="2"/>
                <w:sz w:val="24"/>
                <w:szCs w:val="24"/>
                <w:lang w:val="en-US" w:eastAsia="zh-CN" w:bidi="ar-SA"/>
              </w:rPr>
              <w:t>农田灌溉水质标准</w:t>
            </w:r>
            <w:r>
              <w:rPr>
                <w:rFonts w:hint="default" w:ascii="Times New Roman" w:hAnsi="Times New Roman" w:eastAsia="宋体"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G</w:t>
            </w:r>
            <w:r>
              <w:rPr>
                <w:rFonts w:hint="default" w:ascii="Times New Roman" w:hAnsi="Times New Roman" w:eastAsia="宋体" w:cs="Times New Roman"/>
                <w:color w:val="auto"/>
                <w:kern w:val="2"/>
                <w:sz w:val="24"/>
                <w:szCs w:val="24"/>
                <w:lang w:val="en-US" w:eastAsia="zh-CN" w:bidi="ar-SA"/>
              </w:rPr>
              <w:t>B</w:t>
            </w:r>
            <w:r>
              <w:rPr>
                <w:rFonts w:hint="eastAsia" w:ascii="Times New Roman" w:hAnsi="Times New Roman" w:eastAsia="宋体" w:cs="Times New Roman"/>
                <w:color w:val="auto"/>
                <w:kern w:val="2"/>
                <w:sz w:val="24"/>
                <w:szCs w:val="24"/>
                <w:lang w:val="en-US" w:eastAsia="zh-CN" w:bidi="ar-SA"/>
              </w:rPr>
              <w:t xml:space="preserve"> 5084</w:t>
            </w:r>
            <w:r>
              <w:rPr>
                <w:rFonts w:hint="default" w:ascii="Times New Roman" w:hAnsi="Times New Roman" w:eastAsia="宋体" w:cs="Times New Roman"/>
                <w:color w:val="auto"/>
                <w:kern w:val="2"/>
                <w:sz w:val="24"/>
                <w:szCs w:val="24"/>
                <w:lang w:val="en-US" w:eastAsia="zh-CN" w:bidi="ar-SA"/>
              </w:rPr>
              <w:t>-20</w:t>
            </w:r>
            <w:r>
              <w:rPr>
                <w:rFonts w:hint="eastAsia" w:ascii="Times New Roman" w:hAnsi="Times New Roman" w:eastAsia="宋体" w:cs="Times New Roman"/>
                <w:color w:val="auto"/>
                <w:kern w:val="2"/>
                <w:sz w:val="24"/>
                <w:szCs w:val="24"/>
                <w:lang w:val="en-US" w:eastAsia="zh-CN" w:bidi="ar-SA"/>
              </w:rPr>
              <w:t>2</w:t>
            </w:r>
            <w:r>
              <w:rPr>
                <w:rFonts w:hint="default" w:ascii="Times New Roman" w:hAnsi="Times New Roman" w:eastAsia="宋体" w:cs="Times New Roman"/>
                <w:color w:val="auto"/>
                <w:kern w:val="2"/>
                <w:sz w:val="24"/>
                <w:szCs w:val="24"/>
                <w:lang w:val="en-US" w:eastAsia="zh-CN" w:bidi="ar-SA"/>
              </w:rPr>
              <w:t>1）</w:t>
            </w:r>
            <w:r>
              <w:rPr>
                <w:rFonts w:hint="eastAsia" w:ascii="Times New Roman" w:hAnsi="Times New Roman" w:eastAsia="宋体" w:cs="Times New Roman"/>
                <w:color w:val="auto"/>
                <w:kern w:val="2"/>
                <w:sz w:val="24"/>
                <w:szCs w:val="24"/>
                <w:lang w:val="en-US" w:eastAsia="zh-CN" w:bidi="ar-SA"/>
              </w:rPr>
              <w:t>旱地作物标准</w:t>
            </w:r>
            <w:r>
              <w:rPr>
                <w:rFonts w:hint="default" w:ascii="Times New Roman" w:hAnsi="Times New Roman" w:eastAsia="宋体"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回用于周边林地灌溉，不外排地表水体</w:t>
            </w:r>
            <w:r>
              <w:rPr>
                <w:rFonts w:hint="default" w:ascii="Times New Roman" w:hAnsi="Times New Roman" w:eastAsia="宋体" w:cs="Times New Roman"/>
                <w:color w:val="auto"/>
                <w:kern w:val="2"/>
                <w:sz w:val="24"/>
                <w:szCs w:val="24"/>
                <w:lang w:val="en-US" w:eastAsia="zh-CN" w:bidi="ar-SA"/>
              </w:rPr>
              <w:t>。具体标准值详见下表。</w:t>
            </w:r>
          </w:p>
          <w:p w14:paraId="2F51F950">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auto"/>
                <w:kern w:val="0"/>
                <w:szCs w:val="21"/>
                <w:lang w:val="en-US"/>
              </w:rPr>
            </w:pPr>
            <w:r>
              <w:rPr>
                <w:rFonts w:hint="default" w:ascii="Times New Roman" w:hAnsi="Times New Roman" w:cs="Times New Roman"/>
                <w:b/>
                <w:color w:val="auto"/>
                <w:kern w:val="0"/>
                <w:szCs w:val="21"/>
              </w:rPr>
              <w:t>表3-</w:t>
            </w:r>
            <w:r>
              <w:rPr>
                <w:rFonts w:hint="eastAsia" w:ascii="Times New Roman" w:hAnsi="Times New Roman" w:cs="Times New Roman"/>
                <w:b/>
                <w:color w:val="auto"/>
                <w:kern w:val="0"/>
                <w:szCs w:val="21"/>
                <w:lang w:val="en-US" w:eastAsia="zh-CN"/>
              </w:rPr>
              <w:t>7 表1 再生水用作工业用水水质基本控制项目及限制</w:t>
            </w:r>
          </w:p>
          <w:tbl>
            <w:tblPr>
              <w:tblStyle w:val="36"/>
              <w:tblW w:w="80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4688"/>
              <w:gridCol w:w="2676"/>
            </w:tblGrid>
            <w:tr w14:paraId="57F91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14:paraId="295D2B4A">
                  <w:pPr>
                    <w:pStyle w:val="66"/>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序号</w:t>
                  </w:r>
                </w:p>
              </w:tc>
              <w:tc>
                <w:tcPr>
                  <w:tcW w:w="4688" w:type="dxa"/>
                </w:tcPr>
                <w:p w14:paraId="53771638">
                  <w:pPr>
                    <w:pStyle w:val="66"/>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控制项目</w:t>
                  </w:r>
                </w:p>
              </w:tc>
              <w:tc>
                <w:tcPr>
                  <w:tcW w:w="2676" w:type="dxa"/>
                </w:tcPr>
                <w:p w14:paraId="22851B14">
                  <w:pPr>
                    <w:pStyle w:val="66"/>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洗涤用水</w:t>
                  </w:r>
                </w:p>
              </w:tc>
            </w:tr>
            <w:tr w14:paraId="3B3CB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0DB95013">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688" w:type="dxa"/>
                  <w:vAlign w:val="top"/>
                </w:tcPr>
                <w:p w14:paraId="04672A33">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pH ( 无量纲 )</w:t>
                  </w:r>
                </w:p>
              </w:tc>
              <w:tc>
                <w:tcPr>
                  <w:tcW w:w="2676" w:type="dxa"/>
                </w:tcPr>
                <w:p w14:paraId="1F452441">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6.0~9.0</w:t>
                  </w:r>
                </w:p>
              </w:tc>
            </w:tr>
            <w:tr w14:paraId="70BC9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561E5997">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688" w:type="dxa"/>
                  <w:vAlign w:val="top"/>
                </w:tcPr>
                <w:p w14:paraId="447A139E">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色度/度</w:t>
                  </w:r>
                </w:p>
              </w:tc>
              <w:tc>
                <w:tcPr>
                  <w:tcW w:w="2676" w:type="dxa"/>
                </w:tcPr>
                <w:p w14:paraId="2B9B34A4">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20</w:t>
                  </w:r>
                </w:p>
              </w:tc>
            </w:tr>
            <w:tr w14:paraId="73F43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4870A827">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688" w:type="dxa"/>
                  <w:vAlign w:val="top"/>
                </w:tcPr>
                <w:p w14:paraId="6E3FE697">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浊度/ NTU</w:t>
                  </w:r>
                </w:p>
              </w:tc>
              <w:tc>
                <w:tcPr>
                  <w:tcW w:w="2676" w:type="dxa"/>
                </w:tcPr>
                <w:p w14:paraId="4B115CAE">
                  <w:pPr>
                    <w:pStyle w:val="66"/>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w:t>
                  </w:r>
                </w:p>
              </w:tc>
            </w:tr>
            <w:tr w14:paraId="6EE01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72754D4A">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688" w:type="dxa"/>
                  <w:vAlign w:val="top"/>
                </w:tcPr>
                <w:p w14:paraId="661EE1AD">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五日生化需氧量(BOD</w:t>
                  </w:r>
                  <w:r>
                    <w:rPr>
                      <w:rFonts w:hint="eastAsia" w:ascii="Times New Roman" w:hAnsi="Times New Roman" w:cs="Times New Roman"/>
                      <w:color w:val="auto"/>
                      <w:szCs w:val="21"/>
                      <w:vertAlign w:val="subscript"/>
                      <w:lang w:val="en-US" w:eastAsia="zh-CN"/>
                    </w:rPr>
                    <w:t>5</w:t>
                  </w:r>
                  <w:r>
                    <w:rPr>
                      <w:rFonts w:hint="default" w:ascii="Times New Roman" w:hAnsi="Times New Roman" w:cs="Times New Roman"/>
                      <w:color w:val="auto"/>
                      <w:szCs w:val="21"/>
                    </w:rPr>
                    <w:t>)/(mg/L)</w:t>
                  </w:r>
                </w:p>
              </w:tc>
              <w:tc>
                <w:tcPr>
                  <w:tcW w:w="2676" w:type="dxa"/>
                </w:tcPr>
                <w:p w14:paraId="11977192">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10</w:t>
                  </w:r>
                </w:p>
              </w:tc>
            </w:tr>
            <w:tr w14:paraId="0EB92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4C7F03AB">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4688" w:type="dxa"/>
                  <w:vAlign w:val="top"/>
                </w:tcPr>
                <w:p w14:paraId="4897D15C">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化学需氧量(COD)/(mg/L)</w:t>
                  </w:r>
                </w:p>
              </w:tc>
              <w:tc>
                <w:tcPr>
                  <w:tcW w:w="2676" w:type="dxa"/>
                </w:tcPr>
                <w:p w14:paraId="02C03629">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50</w:t>
                  </w:r>
                </w:p>
              </w:tc>
            </w:tr>
            <w:tr w14:paraId="2B2A6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407B8D38">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4688" w:type="dxa"/>
                  <w:vAlign w:val="top"/>
                </w:tcPr>
                <w:p w14:paraId="6E4FD4D0">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氨氮(以N计)/(mg/L)</w:t>
                  </w:r>
                </w:p>
              </w:tc>
              <w:tc>
                <w:tcPr>
                  <w:tcW w:w="2676" w:type="dxa"/>
                </w:tcPr>
                <w:p w14:paraId="55DAED3D">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5</w:t>
                  </w:r>
                  <w:r>
                    <w:rPr>
                      <w:rFonts w:hint="eastAsia" w:ascii="Times New Roman" w:hAnsi="Times New Roman" w:cs="Times New Roman"/>
                      <w:color w:val="auto"/>
                      <w:szCs w:val="21"/>
                      <w:vertAlign w:val="superscript"/>
                      <w:lang w:val="en-US" w:eastAsia="zh-CN"/>
                    </w:rPr>
                    <w:t>a</w:t>
                  </w:r>
                </w:p>
              </w:tc>
            </w:tr>
            <w:tr w14:paraId="3C652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288688DC">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4688" w:type="dxa"/>
                  <w:vAlign w:val="top"/>
                </w:tcPr>
                <w:p w14:paraId="1650FB59">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总氮(以N计)/(mg/L)</w:t>
                  </w:r>
                </w:p>
              </w:tc>
              <w:tc>
                <w:tcPr>
                  <w:tcW w:w="2676" w:type="dxa"/>
                </w:tcPr>
                <w:p w14:paraId="690BC7A7">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45</w:t>
                  </w:r>
                </w:p>
              </w:tc>
            </w:tr>
            <w:tr w14:paraId="5DC5A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6E01CD91">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4688" w:type="dxa"/>
                  <w:vAlign w:val="top"/>
                </w:tcPr>
                <w:p w14:paraId="76C97272">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总磷(以P计)/(mg/L)</w:t>
                  </w:r>
                </w:p>
              </w:tc>
              <w:tc>
                <w:tcPr>
                  <w:tcW w:w="2676" w:type="dxa"/>
                </w:tcPr>
                <w:p w14:paraId="6756270E">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0.5</w:t>
                  </w:r>
                </w:p>
              </w:tc>
            </w:tr>
            <w:tr w14:paraId="5CCB2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6927A197">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4688" w:type="dxa"/>
                  <w:vAlign w:val="top"/>
                </w:tcPr>
                <w:p w14:paraId="01ED6F06">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阴离子表面活性剂/(mg/L)</w:t>
                  </w:r>
                </w:p>
              </w:tc>
              <w:tc>
                <w:tcPr>
                  <w:tcW w:w="2676" w:type="dxa"/>
                </w:tcPr>
                <w:p w14:paraId="084EF3DE">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0.5</w:t>
                  </w:r>
                </w:p>
              </w:tc>
            </w:tr>
            <w:tr w14:paraId="6BF7E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231A3D41">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4688" w:type="dxa"/>
                  <w:vAlign w:val="top"/>
                </w:tcPr>
                <w:p w14:paraId="1F29EA45">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石油类/(mg/L)</w:t>
                  </w:r>
                </w:p>
              </w:tc>
              <w:tc>
                <w:tcPr>
                  <w:tcW w:w="2676" w:type="dxa"/>
                </w:tcPr>
                <w:p w14:paraId="26E01A2B">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1.0</w:t>
                  </w:r>
                </w:p>
              </w:tc>
            </w:tr>
            <w:tr w14:paraId="3172B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53858461">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11</w:t>
                  </w:r>
                </w:p>
              </w:tc>
              <w:tc>
                <w:tcPr>
                  <w:tcW w:w="4688" w:type="dxa"/>
                  <w:vAlign w:val="top"/>
                </w:tcPr>
                <w:p w14:paraId="0E9C037A">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总碱度(以CaCO</w:t>
                  </w:r>
                  <w:r>
                    <w:rPr>
                      <w:rFonts w:hint="eastAsia" w:ascii="Times New Roman" w:hAnsi="Times New Roman" w:cs="Times New Roman"/>
                      <w:color w:val="auto"/>
                      <w:szCs w:val="21"/>
                      <w:vertAlign w:val="subscript"/>
                      <w:lang w:val="en-US" w:eastAsia="zh-CN"/>
                    </w:rPr>
                    <w:t>3</w:t>
                  </w:r>
                  <w:r>
                    <w:rPr>
                      <w:rFonts w:hint="default" w:ascii="Times New Roman" w:hAnsi="Times New Roman" w:cs="Times New Roman"/>
                      <w:color w:val="auto"/>
                      <w:szCs w:val="21"/>
                    </w:rPr>
                    <w:t>计)/(mg/L)</w:t>
                  </w:r>
                </w:p>
              </w:tc>
              <w:tc>
                <w:tcPr>
                  <w:tcW w:w="2676" w:type="dxa"/>
                </w:tcPr>
                <w:p w14:paraId="078EE4EA">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350</w:t>
                  </w:r>
                </w:p>
              </w:tc>
            </w:tr>
            <w:tr w14:paraId="379C4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6C9BE4C3">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688" w:type="dxa"/>
                  <w:vAlign w:val="top"/>
                </w:tcPr>
                <w:p w14:paraId="55C007CC">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总硬度(以CaCO</w:t>
                  </w:r>
                  <w:r>
                    <w:rPr>
                      <w:rFonts w:hint="eastAsia" w:ascii="Times New Roman" w:hAnsi="Times New Roman" w:cs="Times New Roman"/>
                      <w:color w:val="auto"/>
                      <w:szCs w:val="21"/>
                      <w:vertAlign w:val="subscript"/>
                      <w:lang w:val="en-US" w:eastAsia="zh-CN"/>
                    </w:rPr>
                    <w:t>3</w:t>
                  </w:r>
                  <w:r>
                    <w:rPr>
                      <w:rFonts w:hint="default" w:ascii="Times New Roman" w:hAnsi="Times New Roman" w:cs="Times New Roman"/>
                      <w:color w:val="auto"/>
                      <w:szCs w:val="21"/>
                    </w:rPr>
                    <w:t>计)/(mg/L)</w:t>
                  </w:r>
                </w:p>
              </w:tc>
              <w:tc>
                <w:tcPr>
                  <w:tcW w:w="2676" w:type="dxa"/>
                </w:tcPr>
                <w:p w14:paraId="1D2D5BE8">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450</w:t>
                  </w:r>
                </w:p>
              </w:tc>
            </w:tr>
            <w:tr w14:paraId="1D624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035B1E80">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4688" w:type="dxa"/>
                  <w:vAlign w:val="top"/>
                </w:tcPr>
                <w:p w14:paraId="27A87B0A">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溶解性总固体/(mg/L)</w:t>
                  </w:r>
                </w:p>
              </w:tc>
              <w:tc>
                <w:tcPr>
                  <w:tcW w:w="2676" w:type="dxa"/>
                </w:tcPr>
                <w:p w14:paraId="0B447A61">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1500</w:t>
                  </w:r>
                </w:p>
              </w:tc>
            </w:tr>
            <w:tr w14:paraId="48349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6C6DE790">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4688" w:type="dxa"/>
                  <w:vAlign w:val="top"/>
                </w:tcPr>
                <w:p w14:paraId="7F6B69D1">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氯化物/(mg/L)</w:t>
                  </w:r>
                </w:p>
              </w:tc>
              <w:tc>
                <w:tcPr>
                  <w:tcW w:w="2676" w:type="dxa"/>
                </w:tcPr>
                <w:p w14:paraId="46912D8C">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400</w:t>
                  </w:r>
                </w:p>
              </w:tc>
            </w:tr>
            <w:tr w14:paraId="56955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53560051">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4688" w:type="dxa"/>
                  <w:vAlign w:val="top"/>
                </w:tcPr>
                <w:p w14:paraId="73C01FB6">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硫酸盐(以SO</w:t>
                  </w:r>
                  <w:r>
                    <w:rPr>
                      <w:rFonts w:hint="eastAsia" w:ascii="Times New Roman" w:hAnsi="Times New Roman" w:cs="Times New Roman"/>
                      <w:color w:val="auto"/>
                      <w:szCs w:val="21"/>
                      <w:vertAlign w:val="subscript"/>
                      <w:lang w:val="en-US" w:eastAsia="zh-CN"/>
                    </w:rPr>
                    <w:t>4</w:t>
                  </w:r>
                  <w:r>
                    <w:rPr>
                      <w:rFonts w:hint="eastAsia" w:ascii="Times New Roman" w:hAnsi="Times New Roman" w:cs="Times New Roman"/>
                      <w:color w:val="auto"/>
                      <w:szCs w:val="21"/>
                      <w:vertAlign w:val="superscript"/>
                      <w:lang w:val="en-US" w:eastAsia="zh-CN"/>
                    </w:rPr>
                    <w:t>2-</w:t>
                  </w:r>
                  <w:r>
                    <w:rPr>
                      <w:rFonts w:hint="default" w:ascii="Times New Roman" w:hAnsi="Times New Roman" w:cs="Times New Roman"/>
                      <w:color w:val="auto"/>
                      <w:szCs w:val="21"/>
                    </w:rPr>
                    <w:t>计)/(mg/L)</w:t>
                  </w:r>
                </w:p>
              </w:tc>
              <w:tc>
                <w:tcPr>
                  <w:tcW w:w="2676" w:type="dxa"/>
                </w:tcPr>
                <w:p w14:paraId="1BB41B13">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600</w:t>
                  </w:r>
                </w:p>
              </w:tc>
            </w:tr>
            <w:tr w14:paraId="239B9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09A8C237">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4688" w:type="dxa"/>
                  <w:vAlign w:val="top"/>
                </w:tcPr>
                <w:p w14:paraId="1EB870BA">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铁/(mg/L)</w:t>
                  </w:r>
                </w:p>
              </w:tc>
              <w:tc>
                <w:tcPr>
                  <w:tcW w:w="2676" w:type="dxa"/>
                </w:tcPr>
                <w:p w14:paraId="0E18CDFF">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0.5</w:t>
                  </w:r>
                </w:p>
              </w:tc>
            </w:tr>
            <w:tr w14:paraId="24529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0BFBDF63">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17</w:t>
                  </w:r>
                </w:p>
              </w:tc>
              <w:tc>
                <w:tcPr>
                  <w:tcW w:w="4688" w:type="dxa"/>
                  <w:vAlign w:val="top"/>
                </w:tcPr>
                <w:p w14:paraId="64A97DAA">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锰/(mg/L)</w:t>
                  </w:r>
                </w:p>
              </w:tc>
              <w:tc>
                <w:tcPr>
                  <w:tcW w:w="2676" w:type="dxa"/>
                </w:tcPr>
                <w:p w14:paraId="43BBEC00">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0.2</w:t>
                  </w:r>
                </w:p>
              </w:tc>
            </w:tr>
            <w:tr w14:paraId="2774C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1BD3511D">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18</w:t>
                  </w:r>
                </w:p>
              </w:tc>
              <w:tc>
                <w:tcPr>
                  <w:tcW w:w="4688" w:type="dxa"/>
                  <w:vAlign w:val="top"/>
                </w:tcPr>
                <w:p w14:paraId="457D897B">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二氧化硅/(mg/L)</w:t>
                  </w:r>
                </w:p>
              </w:tc>
              <w:tc>
                <w:tcPr>
                  <w:tcW w:w="2676" w:type="dxa"/>
                </w:tcPr>
                <w:p w14:paraId="15C6C04D">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50</w:t>
                  </w:r>
                </w:p>
              </w:tc>
            </w:tr>
            <w:tr w14:paraId="10FB8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185E3BE6">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19</w:t>
                  </w:r>
                </w:p>
              </w:tc>
              <w:tc>
                <w:tcPr>
                  <w:tcW w:w="4688" w:type="dxa"/>
                  <w:vAlign w:val="top"/>
                </w:tcPr>
                <w:p w14:paraId="10F18D07">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粪大肠菌群/(MPN/L)</w:t>
                  </w:r>
                </w:p>
              </w:tc>
              <w:tc>
                <w:tcPr>
                  <w:tcW w:w="2676" w:type="dxa"/>
                </w:tcPr>
                <w:p w14:paraId="4C243A01">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1000</w:t>
                  </w:r>
                </w:p>
              </w:tc>
            </w:tr>
            <w:tr w14:paraId="78138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vAlign w:val="top"/>
                </w:tcPr>
                <w:p w14:paraId="0DB3C30B">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20</w:t>
                  </w:r>
                </w:p>
              </w:tc>
              <w:tc>
                <w:tcPr>
                  <w:tcW w:w="4688" w:type="dxa"/>
                  <w:vAlign w:val="top"/>
                </w:tcPr>
                <w:p w14:paraId="4BB31E19">
                  <w:pPr>
                    <w:pStyle w:val="66"/>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总余氯 ( mg / L )</w:t>
                  </w:r>
                </w:p>
              </w:tc>
              <w:tc>
                <w:tcPr>
                  <w:tcW w:w="2676" w:type="dxa"/>
                </w:tcPr>
                <w:p w14:paraId="796B19AC">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0.1~0.2</w:t>
                  </w:r>
                </w:p>
              </w:tc>
            </w:tr>
            <w:tr w14:paraId="713D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7" w:type="dxa"/>
                  <w:gridSpan w:val="3"/>
                  <w:vAlign w:val="top"/>
                </w:tcPr>
                <w:p w14:paraId="2DF191F8">
                  <w:pPr>
                    <w:pStyle w:val="66"/>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注：“—”表示对此项无要求。</w:t>
                  </w:r>
                </w:p>
              </w:tc>
            </w:tr>
            <w:tr w14:paraId="52EE3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7" w:type="dxa"/>
                  <w:gridSpan w:val="3"/>
                  <w:vAlign w:val="top"/>
                </w:tcPr>
                <w:p w14:paraId="232D9963">
                  <w:pPr>
                    <w:pStyle w:val="66"/>
                    <w:keepNext w:val="0"/>
                    <w:keepLines w:val="0"/>
                    <w:suppressLineNumbers w:val="0"/>
                    <w:spacing w:before="0" w:beforeAutospacing="0" w:after="0" w:afterAutospacing="0"/>
                    <w:ind w:left="0" w:right="0"/>
                    <w:jc w:val="both"/>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vertAlign w:val="superscript"/>
                      <w:lang w:val="en-US" w:eastAsia="zh-CN"/>
                    </w:rPr>
                    <w:t>a</w:t>
                  </w:r>
                  <w:r>
                    <w:rPr>
                      <w:rFonts w:hint="eastAsia" w:ascii="Times New Roman" w:hAnsi="Times New Roman" w:cs="Times New Roman"/>
                      <w:color w:val="auto"/>
                      <w:szCs w:val="21"/>
                      <w:lang w:val="en-US" w:eastAsia="zh-CN"/>
                    </w:rPr>
                    <w:t xml:space="preserve">  用于间冷开式循环冷却水系统补充水，且换热器为铜合金材质时，氨氮指标应小于1mg/L</w:t>
                  </w:r>
                </w:p>
                <w:p w14:paraId="33215398">
                  <w:pPr>
                    <w:pStyle w:val="66"/>
                    <w:keepNext w:val="0"/>
                    <w:keepLines w:val="0"/>
                    <w:suppressLineNumbers w:val="0"/>
                    <w:spacing w:before="0" w:beforeAutospacing="0" w:after="0" w:afterAutospacing="0"/>
                    <w:ind w:left="0" w:right="0"/>
                    <w:jc w:val="both"/>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vertAlign w:val="superscript"/>
                      <w:lang w:val="en-US" w:eastAsia="zh-CN"/>
                    </w:rPr>
                    <w:t>b</w:t>
                  </w:r>
                  <w:r>
                    <w:rPr>
                      <w:rFonts w:hint="eastAsia" w:ascii="Times New Roman" w:hAnsi="Times New Roman" w:cs="Times New Roman"/>
                      <w:color w:val="auto"/>
                      <w:szCs w:val="21"/>
                      <w:lang w:val="en-US" w:eastAsia="zh-CN"/>
                    </w:rPr>
                    <w:t xml:space="preserve">  与用户管道连接处再生水中总余氯值。</w:t>
                  </w:r>
                </w:p>
              </w:tc>
            </w:tr>
          </w:tbl>
          <w:p w14:paraId="5BF0C49A">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auto"/>
                <w:kern w:val="0"/>
                <w:szCs w:val="21"/>
              </w:rPr>
            </w:pPr>
          </w:p>
          <w:p w14:paraId="1DCD6C1F">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auto"/>
                <w:kern w:val="0"/>
                <w:szCs w:val="21"/>
              </w:rPr>
            </w:pPr>
          </w:p>
          <w:p w14:paraId="0ACDB2EE">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表3-</w:t>
            </w:r>
            <w:r>
              <w:rPr>
                <w:rFonts w:hint="eastAsia" w:ascii="Times New Roman" w:hAnsi="Times New Roman" w:cs="Times New Roman"/>
                <w:b/>
                <w:color w:val="auto"/>
                <w:kern w:val="0"/>
                <w:szCs w:val="21"/>
                <w:lang w:val="en-US" w:eastAsia="zh-CN"/>
              </w:rPr>
              <w:t>8农田灌溉水质控制项目</w:t>
            </w:r>
            <w:r>
              <w:rPr>
                <w:rFonts w:hint="default" w:ascii="Times New Roman" w:hAnsi="Times New Roman" w:cs="Times New Roman"/>
                <w:b/>
                <w:color w:val="auto"/>
                <w:kern w:val="0"/>
                <w:szCs w:val="21"/>
              </w:rPr>
              <w:t>限值</w:t>
            </w:r>
          </w:p>
          <w:tbl>
            <w:tblPr>
              <w:tblStyle w:val="96"/>
              <w:tblpPr w:leftFromText="180" w:rightFromText="180" w:vertAnchor="text" w:tblpXSpec="center" w:tblpY="1"/>
              <w:tblOverlap w:val="never"/>
              <w:tblW w:w="802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14"/>
              <w:gridCol w:w="4550"/>
              <w:gridCol w:w="2658"/>
            </w:tblGrid>
            <w:tr w14:paraId="49848A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9" w:hRule="atLeast"/>
                <w:jc w:val="center"/>
              </w:trPr>
              <w:tc>
                <w:tcPr>
                  <w:tcW w:w="814" w:type="dxa"/>
                  <w:vMerge w:val="restart"/>
                  <w:tcBorders>
                    <w:tl2br w:val="nil"/>
                    <w:tr2bl w:val="nil"/>
                  </w:tcBorders>
                  <w:vAlign w:val="center"/>
                </w:tcPr>
                <w:p w14:paraId="5032D566">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序号</w:t>
                  </w:r>
                </w:p>
              </w:tc>
              <w:tc>
                <w:tcPr>
                  <w:tcW w:w="4550" w:type="dxa"/>
                  <w:vMerge w:val="restart"/>
                  <w:tcBorders>
                    <w:tl2br w:val="nil"/>
                    <w:tr2bl w:val="nil"/>
                  </w:tcBorders>
                  <w:vAlign w:val="center"/>
                </w:tcPr>
                <w:p w14:paraId="0FA3A40A">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项目类别</w:t>
                  </w:r>
                </w:p>
              </w:tc>
              <w:tc>
                <w:tcPr>
                  <w:tcW w:w="2658" w:type="dxa"/>
                  <w:tcBorders>
                    <w:tl2br w:val="nil"/>
                    <w:tr2bl w:val="nil"/>
                  </w:tcBorders>
                  <w:vAlign w:val="center"/>
                </w:tcPr>
                <w:p w14:paraId="18DC4D42">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作物种类</w:t>
                  </w:r>
                </w:p>
              </w:tc>
            </w:tr>
            <w:tr w14:paraId="503C76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vMerge w:val="continue"/>
                  <w:tcBorders>
                    <w:tl2br w:val="nil"/>
                    <w:tr2bl w:val="nil"/>
                  </w:tcBorders>
                  <w:vAlign w:val="center"/>
                </w:tcPr>
                <w:p w14:paraId="7A46A2CC">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4550" w:type="dxa"/>
                  <w:vMerge w:val="continue"/>
                  <w:tcBorders>
                    <w:tl2br w:val="nil"/>
                    <w:tr2bl w:val="nil"/>
                  </w:tcBorders>
                  <w:vAlign w:val="center"/>
                </w:tcPr>
                <w:p w14:paraId="7931BCDC">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2658" w:type="dxa"/>
                  <w:tcBorders>
                    <w:tl2br w:val="nil"/>
                    <w:tr2bl w:val="nil"/>
                  </w:tcBorders>
                  <w:vAlign w:val="center"/>
                </w:tcPr>
                <w:p w14:paraId="461ACF15">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旱地作物</w:t>
                  </w:r>
                </w:p>
              </w:tc>
            </w:tr>
            <w:tr w14:paraId="2319D7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01FC09AF">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550" w:type="dxa"/>
                  <w:tcBorders>
                    <w:tl2br w:val="nil"/>
                    <w:tr2bl w:val="nil"/>
                  </w:tcBorders>
                  <w:vAlign w:val="center"/>
                </w:tcPr>
                <w:p w14:paraId="534AB18A">
                  <w:pPr>
                    <w:pStyle w:val="66"/>
                    <w:keepNext w:val="0"/>
                    <w:keepLines w:val="0"/>
                    <w:suppressLineNumbers w:val="0"/>
                    <w:spacing w:before="0" w:beforeAutospacing="0" w:after="0" w:afterAutospacing="0"/>
                    <w:ind w:left="0" w:right="0" w:firstLine="210" w:firstLineChars="100"/>
                    <w:jc w:val="both"/>
                    <w:rPr>
                      <w:rFonts w:hint="eastAsia" w:ascii="Times New Roman" w:hAnsi="Times New Roman" w:cs="Times New Roman" w:eastAsiaTheme="minorEastAsia"/>
                      <w:color w:val="auto"/>
                      <w:szCs w:val="21"/>
                      <w:lang w:eastAsia="zh-CN"/>
                    </w:rPr>
                  </w:pPr>
                  <w:r>
                    <w:rPr>
                      <w:rFonts w:hint="default" w:ascii="Times New Roman" w:hAnsi="Times New Roman" w:cs="Times New Roman"/>
                      <w:color w:val="auto"/>
                      <w:szCs w:val="21"/>
                    </w:rPr>
                    <w:t>pH 值</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无纲量</w:t>
                  </w:r>
                  <w:r>
                    <w:rPr>
                      <w:rFonts w:hint="eastAsia" w:ascii="Times New Roman" w:hAnsi="Times New Roman" w:cs="Times New Roman"/>
                      <w:color w:val="auto"/>
                      <w:szCs w:val="21"/>
                      <w:lang w:eastAsia="zh-CN"/>
                    </w:rPr>
                    <w:t>）</w:t>
                  </w:r>
                </w:p>
              </w:tc>
              <w:tc>
                <w:tcPr>
                  <w:tcW w:w="2658" w:type="dxa"/>
                  <w:tcBorders>
                    <w:tl2br w:val="nil"/>
                    <w:tr2bl w:val="nil"/>
                  </w:tcBorders>
                  <w:vAlign w:val="center"/>
                </w:tcPr>
                <w:p w14:paraId="38AE2D47">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5.5-8.5</w:t>
                  </w:r>
                </w:p>
              </w:tc>
            </w:tr>
            <w:tr w14:paraId="0A4796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 w:hRule="atLeast"/>
                <w:jc w:val="center"/>
              </w:trPr>
              <w:tc>
                <w:tcPr>
                  <w:tcW w:w="814" w:type="dxa"/>
                  <w:tcBorders>
                    <w:tl2br w:val="nil"/>
                    <w:tr2bl w:val="nil"/>
                  </w:tcBorders>
                  <w:vAlign w:val="center"/>
                </w:tcPr>
                <w:p w14:paraId="3B44C512">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550" w:type="dxa"/>
                  <w:tcBorders>
                    <w:tl2br w:val="nil"/>
                    <w:tr2bl w:val="nil"/>
                  </w:tcBorders>
                  <w:vAlign w:val="center"/>
                </w:tcPr>
                <w:p w14:paraId="3DEDE0D9">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水温/℃                                ≤</w:t>
                  </w:r>
                </w:p>
              </w:tc>
              <w:tc>
                <w:tcPr>
                  <w:tcW w:w="2658" w:type="dxa"/>
                  <w:tcBorders>
                    <w:tl2br w:val="nil"/>
                    <w:tr2bl w:val="nil"/>
                  </w:tcBorders>
                  <w:vAlign w:val="center"/>
                </w:tcPr>
                <w:p w14:paraId="48C59930">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35</w:t>
                  </w:r>
                </w:p>
              </w:tc>
            </w:tr>
            <w:tr w14:paraId="429F7F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04521C9D">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550" w:type="dxa"/>
                  <w:tcBorders>
                    <w:tl2br w:val="nil"/>
                    <w:tr2bl w:val="nil"/>
                  </w:tcBorders>
                  <w:vAlign w:val="center"/>
                </w:tcPr>
                <w:p w14:paraId="189FDE6C">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悬浮物/（mg/L）                        ≤</w:t>
                  </w:r>
                </w:p>
              </w:tc>
              <w:tc>
                <w:tcPr>
                  <w:tcW w:w="2658" w:type="dxa"/>
                  <w:tcBorders>
                    <w:tl2br w:val="nil"/>
                    <w:tr2bl w:val="nil"/>
                  </w:tcBorders>
                  <w:vAlign w:val="center"/>
                </w:tcPr>
                <w:p w14:paraId="297B1920">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100</w:t>
                  </w:r>
                </w:p>
              </w:tc>
            </w:tr>
            <w:tr w14:paraId="3D0A80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10F1BD66">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550" w:type="dxa"/>
                  <w:tcBorders>
                    <w:tl2br w:val="nil"/>
                    <w:tr2bl w:val="nil"/>
                  </w:tcBorders>
                  <w:vAlign w:val="center"/>
                </w:tcPr>
                <w:p w14:paraId="526CFD10">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五日生化需氧量（BOD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rPr>
                    <w:t xml:space="preserve"> ）/（mg/L）      ≤</w:t>
                  </w:r>
                </w:p>
              </w:tc>
              <w:tc>
                <w:tcPr>
                  <w:tcW w:w="2658" w:type="dxa"/>
                  <w:tcBorders>
                    <w:tl2br w:val="nil"/>
                    <w:tr2bl w:val="nil"/>
                  </w:tcBorders>
                  <w:vAlign w:val="center"/>
                </w:tcPr>
                <w:p w14:paraId="1D30F6ED">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100</w:t>
                  </w:r>
                </w:p>
              </w:tc>
            </w:tr>
            <w:tr w14:paraId="035D1A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 w:hRule="atLeast"/>
                <w:jc w:val="center"/>
              </w:trPr>
              <w:tc>
                <w:tcPr>
                  <w:tcW w:w="814" w:type="dxa"/>
                  <w:tcBorders>
                    <w:tl2br w:val="nil"/>
                    <w:tr2bl w:val="nil"/>
                  </w:tcBorders>
                  <w:vAlign w:val="center"/>
                </w:tcPr>
                <w:p w14:paraId="75D59874">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4550" w:type="dxa"/>
                  <w:tcBorders>
                    <w:tl2br w:val="nil"/>
                    <w:tr2bl w:val="nil"/>
                  </w:tcBorders>
                  <w:vAlign w:val="center"/>
                </w:tcPr>
                <w:p w14:paraId="5F7B6789">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化学需氧量（COD</w:t>
                  </w:r>
                  <w:r>
                    <w:rPr>
                      <w:rFonts w:hint="default" w:ascii="Times New Roman" w:hAnsi="Times New Roman" w:cs="Times New Roman"/>
                      <w:color w:val="auto"/>
                      <w:szCs w:val="21"/>
                      <w:vertAlign w:val="subscript"/>
                    </w:rPr>
                    <w:t>Cr</w:t>
                  </w:r>
                  <w:r>
                    <w:rPr>
                      <w:rFonts w:hint="default" w:ascii="Times New Roman" w:hAnsi="Times New Roman" w:cs="Times New Roman"/>
                      <w:color w:val="auto"/>
                      <w:szCs w:val="21"/>
                    </w:rPr>
                    <w:t xml:space="preserve"> ）/（mg/L）         ≤</w:t>
                  </w:r>
                </w:p>
              </w:tc>
              <w:tc>
                <w:tcPr>
                  <w:tcW w:w="2658" w:type="dxa"/>
                  <w:tcBorders>
                    <w:tl2br w:val="nil"/>
                    <w:tr2bl w:val="nil"/>
                  </w:tcBorders>
                  <w:vAlign w:val="center"/>
                </w:tcPr>
                <w:p w14:paraId="7AD23B5B">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200</w:t>
                  </w:r>
                </w:p>
              </w:tc>
            </w:tr>
            <w:tr w14:paraId="60956F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7FDBA1DC">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c>
                <w:tcPr>
                  <w:tcW w:w="4550" w:type="dxa"/>
                  <w:tcBorders>
                    <w:tl2br w:val="nil"/>
                    <w:tr2bl w:val="nil"/>
                  </w:tcBorders>
                  <w:vAlign w:val="center"/>
                </w:tcPr>
                <w:p w14:paraId="0D98935D">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阴离子表面活性剂/（mg/L）              ≤</w:t>
                  </w:r>
                </w:p>
              </w:tc>
              <w:tc>
                <w:tcPr>
                  <w:tcW w:w="2658" w:type="dxa"/>
                  <w:tcBorders>
                    <w:tl2br w:val="nil"/>
                    <w:tr2bl w:val="nil"/>
                  </w:tcBorders>
                  <w:vAlign w:val="center"/>
                </w:tcPr>
                <w:p w14:paraId="1432CB92">
                  <w:pPr>
                    <w:pStyle w:val="66"/>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8</w:t>
                  </w:r>
                </w:p>
              </w:tc>
            </w:tr>
            <w:tr w14:paraId="45589D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2B4A2AF9">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4550" w:type="dxa"/>
                  <w:tcBorders>
                    <w:tl2br w:val="nil"/>
                    <w:tr2bl w:val="nil"/>
                  </w:tcBorders>
                  <w:vAlign w:val="center"/>
                </w:tcPr>
                <w:p w14:paraId="0887046D">
                  <w:pPr>
                    <w:pStyle w:val="66"/>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auto"/>
                      <w:szCs w:val="21"/>
                    </w:rPr>
                  </w:pPr>
                  <w:r>
                    <w:rPr>
                      <w:rFonts w:hint="default" w:ascii="Times New Roman" w:hAnsi="Times New Roman" w:cs="Times New Roman"/>
                      <w:color w:val="auto"/>
                      <w:szCs w:val="21"/>
                    </w:rPr>
                    <w:t>氯化物（以Cl</w:t>
                  </w:r>
                  <w:r>
                    <w:rPr>
                      <w:rFonts w:hint="default" w:ascii="Times New Roman" w:hAnsi="Times New Roman" w:cs="Times New Roman"/>
                      <w:color w:val="auto"/>
                      <w:szCs w:val="21"/>
                      <w:vertAlign w:val="superscript"/>
                    </w:rPr>
                    <w:t>-</w:t>
                  </w:r>
                  <w:r>
                    <w:rPr>
                      <w:rFonts w:hint="default" w:ascii="Times New Roman" w:hAnsi="Times New Roman" w:cs="Times New Roman"/>
                      <w:color w:val="auto"/>
                      <w:szCs w:val="21"/>
                    </w:rPr>
                    <w:t xml:space="preserve">计）/（mg/L）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tc>
              <w:tc>
                <w:tcPr>
                  <w:tcW w:w="2658" w:type="dxa"/>
                  <w:tcBorders>
                    <w:tl2br w:val="nil"/>
                    <w:tr2bl w:val="nil"/>
                  </w:tcBorders>
                  <w:vAlign w:val="center"/>
                </w:tcPr>
                <w:p w14:paraId="1F75FEA6">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350</w:t>
                  </w:r>
                </w:p>
              </w:tc>
            </w:tr>
            <w:tr w14:paraId="220BBA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 w:hRule="atLeast"/>
                <w:jc w:val="center"/>
              </w:trPr>
              <w:tc>
                <w:tcPr>
                  <w:tcW w:w="814" w:type="dxa"/>
                  <w:tcBorders>
                    <w:tl2br w:val="nil"/>
                    <w:tr2bl w:val="nil"/>
                  </w:tcBorders>
                  <w:vAlign w:val="center"/>
                </w:tcPr>
                <w:p w14:paraId="1067164C">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c>
                <w:tcPr>
                  <w:tcW w:w="4550" w:type="dxa"/>
                  <w:tcBorders>
                    <w:tl2br w:val="nil"/>
                    <w:tr2bl w:val="nil"/>
                  </w:tcBorders>
                  <w:vAlign w:val="center"/>
                </w:tcPr>
                <w:p w14:paraId="5D2ECF3E">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硫化物（以S</w:t>
                  </w:r>
                  <w:r>
                    <w:rPr>
                      <w:rFonts w:hint="default" w:ascii="Times New Roman" w:hAnsi="Times New Roman" w:cs="Times New Roman"/>
                      <w:color w:val="auto"/>
                      <w:szCs w:val="21"/>
                      <w:vertAlign w:val="superscript"/>
                    </w:rPr>
                    <w:t>2-</w:t>
                  </w:r>
                  <w:r>
                    <w:rPr>
                      <w:rFonts w:hint="default" w:ascii="Times New Roman" w:hAnsi="Times New Roman" w:cs="Times New Roman"/>
                      <w:color w:val="auto"/>
                      <w:szCs w:val="21"/>
                    </w:rPr>
                    <w:t xml:space="preserve">计）/（mg/L）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tc>
              <w:tc>
                <w:tcPr>
                  <w:tcW w:w="2658" w:type="dxa"/>
                  <w:tcBorders>
                    <w:tl2br w:val="nil"/>
                    <w:tr2bl w:val="nil"/>
                  </w:tcBorders>
                  <w:vAlign w:val="center"/>
                </w:tcPr>
                <w:p w14:paraId="1CDC93E3">
                  <w:pPr>
                    <w:pStyle w:val="66"/>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1</w:t>
                  </w:r>
                </w:p>
              </w:tc>
            </w:tr>
            <w:tr w14:paraId="0E9AC6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3F60EFE3">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c>
                <w:tcPr>
                  <w:tcW w:w="4550" w:type="dxa"/>
                  <w:tcBorders>
                    <w:tl2br w:val="nil"/>
                    <w:tr2bl w:val="nil"/>
                  </w:tcBorders>
                  <w:vAlign w:val="center"/>
                </w:tcPr>
                <w:p w14:paraId="02CDE247">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全盐量/（mg/L）                        ≤</w:t>
                  </w:r>
                </w:p>
              </w:tc>
              <w:tc>
                <w:tcPr>
                  <w:tcW w:w="2658" w:type="dxa"/>
                  <w:tcBorders>
                    <w:tl2br w:val="nil"/>
                    <w:tr2bl w:val="nil"/>
                  </w:tcBorders>
                  <w:vAlign w:val="center"/>
                </w:tcPr>
                <w:p w14:paraId="51D2DE95">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1000</w:t>
                  </w:r>
                </w:p>
              </w:tc>
            </w:tr>
            <w:tr w14:paraId="2E41CC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5F53781F">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c>
                <w:tcPr>
                  <w:tcW w:w="4550" w:type="dxa"/>
                  <w:tcBorders>
                    <w:tl2br w:val="nil"/>
                    <w:tr2bl w:val="nil"/>
                  </w:tcBorders>
                  <w:vAlign w:val="center"/>
                </w:tcPr>
                <w:p w14:paraId="6670EE55">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总铅/（mg/L）                          ≤</w:t>
                  </w:r>
                </w:p>
              </w:tc>
              <w:tc>
                <w:tcPr>
                  <w:tcW w:w="2658" w:type="dxa"/>
                  <w:tcBorders>
                    <w:tl2br w:val="nil"/>
                    <w:tr2bl w:val="nil"/>
                  </w:tcBorders>
                  <w:vAlign w:val="center"/>
                </w:tcPr>
                <w:p w14:paraId="60574AF7">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0.2</w:t>
                  </w:r>
                </w:p>
              </w:tc>
            </w:tr>
            <w:tr w14:paraId="0E5821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 w:hRule="atLeast"/>
                <w:jc w:val="center"/>
              </w:trPr>
              <w:tc>
                <w:tcPr>
                  <w:tcW w:w="814" w:type="dxa"/>
                  <w:tcBorders>
                    <w:tl2br w:val="nil"/>
                    <w:tr2bl w:val="nil"/>
                  </w:tcBorders>
                  <w:vAlign w:val="center"/>
                </w:tcPr>
                <w:p w14:paraId="229FC3D4">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11</w:t>
                  </w:r>
                </w:p>
              </w:tc>
              <w:tc>
                <w:tcPr>
                  <w:tcW w:w="4550" w:type="dxa"/>
                  <w:tcBorders>
                    <w:tl2br w:val="nil"/>
                    <w:tr2bl w:val="nil"/>
                  </w:tcBorders>
                  <w:vAlign w:val="center"/>
                </w:tcPr>
                <w:p w14:paraId="0C5E7CFC">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总镉/（mg/L）                          ≤</w:t>
                  </w:r>
                </w:p>
              </w:tc>
              <w:tc>
                <w:tcPr>
                  <w:tcW w:w="2658" w:type="dxa"/>
                  <w:tcBorders>
                    <w:tl2br w:val="nil"/>
                    <w:tr2bl w:val="nil"/>
                  </w:tcBorders>
                  <w:vAlign w:val="center"/>
                </w:tcPr>
                <w:p w14:paraId="3416F60C">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0.01</w:t>
                  </w:r>
                </w:p>
              </w:tc>
            </w:tr>
            <w:tr w14:paraId="08E138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781EAF70">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12</w:t>
                  </w:r>
                </w:p>
              </w:tc>
              <w:tc>
                <w:tcPr>
                  <w:tcW w:w="4550" w:type="dxa"/>
                  <w:tcBorders>
                    <w:tl2br w:val="nil"/>
                    <w:tr2bl w:val="nil"/>
                  </w:tcBorders>
                  <w:vAlign w:val="center"/>
                </w:tcPr>
                <w:p w14:paraId="3488A6FF">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铬（六价）/（mg/L）                    ≤</w:t>
                  </w:r>
                </w:p>
              </w:tc>
              <w:tc>
                <w:tcPr>
                  <w:tcW w:w="2658" w:type="dxa"/>
                  <w:tcBorders>
                    <w:tl2br w:val="nil"/>
                    <w:tr2bl w:val="nil"/>
                  </w:tcBorders>
                  <w:vAlign w:val="center"/>
                </w:tcPr>
                <w:p w14:paraId="404B3A51">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0.1</w:t>
                  </w:r>
                </w:p>
              </w:tc>
            </w:tr>
            <w:tr w14:paraId="264036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6D6A6316">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13</w:t>
                  </w:r>
                </w:p>
              </w:tc>
              <w:tc>
                <w:tcPr>
                  <w:tcW w:w="4550" w:type="dxa"/>
                  <w:tcBorders>
                    <w:tl2br w:val="nil"/>
                    <w:tr2bl w:val="nil"/>
                  </w:tcBorders>
                  <w:vAlign w:val="center"/>
                </w:tcPr>
                <w:p w14:paraId="6CAA78F0">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总汞/（mg/L）                          ≤</w:t>
                  </w:r>
                </w:p>
              </w:tc>
              <w:tc>
                <w:tcPr>
                  <w:tcW w:w="2658" w:type="dxa"/>
                  <w:tcBorders>
                    <w:tl2br w:val="nil"/>
                    <w:tr2bl w:val="nil"/>
                  </w:tcBorders>
                  <w:vAlign w:val="center"/>
                </w:tcPr>
                <w:p w14:paraId="09CAE0DA">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0.001</w:t>
                  </w:r>
                </w:p>
              </w:tc>
            </w:tr>
            <w:tr w14:paraId="30A166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 w:hRule="atLeast"/>
                <w:jc w:val="center"/>
              </w:trPr>
              <w:tc>
                <w:tcPr>
                  <w:tcW w:w="814" w:type="dxa"/>
                  <w:tcBorders>
                    <w:tl2br w:val="nil"/>
                    <w:tr2bl w:val="nil"/>
                  </w:tcBorders>
                  <w:vAlign w:val="center"/>
                </w:tcPr>
                <w:p w14:paraId="12886BB9">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14</w:t>
                  </w:r>
                </w:p>
              </w:tc>
              <w:tc>
                <w:tcPr>
                  <w:tcW w:w="4550" w:type="dxa"/>
                  <w:tcBorders>
                    <w:tl2br w:val="nil"/>
                    <w:tr2bl w:val="nil"/>
                  </w:tcBorders>
                  <w:vAlign w:val="center"/>
                </w:tcPr>
                <w:p w14:paraId="6E37FEAF">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总砷/（mg/L）                          ≤</w:t>
                  </w:r>
                </w:p>
              </w:tc>
              <w:tc>
                <w:tcPr>
                  <w:tcW w:w="2658" w:type="dxa"/>
                  <w:tcBorders>
                    <w:tl2br w:val="nil"/>
                    <w:tr2bl w:val="nil"/>
                  </w:tcBorders>
                  <w:vAlign w:val="center"/>
                </w:tcPr>
                <w:p w14:paraId="6C4D694E">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0.1</w:t>
                  </w:r>
                </w:p>
              </w:tc>
            </w:tr>
            <w:tr w14:paraId="7B3DE8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726240ED">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4550" w:type="dxa"/>
                  <w:tcBorders>
                    <w:tl2br w:val="nil"/>
                    <w:tr2bl w:val="nil"/>
                  </w:tcBorders>
                  <w:vAlign w:val="center"/>
                </w:tcPr>
                <w:p w14:paraId="71EC4C99">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粪大肠菌群数/（MPN/L）                ≤</w:t>
                  </w:r>
                </w:p>
              </w:tc>
              <w:tc>
                <w:tcPr>
                  <w:tcW w:w="2658" w:type="dxa"/>
                  <w:tcBorders>
                    <w:tl2br w:val="nil"/>
                    <w:tr2bl w:val="nil"/>
                  </w:tcBorders>
                  <w:vAlign w:val="center"/>
                </w:tcPr>
                <w:p w14:paraId="2732D0D7">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40000</w:t>
                  </w:r>
                </w:p>
              </w:tc>
            </w:tr>
            <w:tr w14:paraId="26F8B7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814" w:type="dxa"/>
                  <w:tcBorders>
                    <w:tl2br w:val="nil"/>
                    <w:tr2bl w:val="nil"/>
                  </w:tcBorders>
                  <w:vAlign w:val="center"/>
                </w:tcPr>
                <w:p w14:paraId="1CC980BC">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16</w:t>
                  </w:r>
                </w:p>
              </w:tc>
              <w:tc>
                <w:tcPr>
                  <w:tcW w:w="4550" w:type="dxa"/>
                  <w:tcBorders>
                    <w:tl2br w:val="nil"/>
                    <w:tr2bl w:val="nil"/>
                  </w:tcBorders>
                  <w:vAlign w:val="center"/>
                </w:tcPr>
                <w:p w14:paraId="380AB6D0">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蛔虫卵数/（个/10L）                    ≤</w:t>
                  </w:r>
                </w:p>
              </w:tc>
              <w:tc>
                <w:tcPr>
                  <w:tcW w:w="2658" w:type="dxa"/>
                  <w:tcBorders>
                    <w:tl2br w:val="nil"/>
                    <w:tr2bl w:val="nil"/>
                  </w:tcBorders>
                  <w:vAlign w:val="center"/>
                </w:tcPr>
                <w:p w14:paraId="15B022CC">
                  <w:pPr>
                    <w:pStyle w:val="66"/>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20</w:t>
                  </w:r>
                </w:p>
              </w:tc>
            </w:tr>
          </w:tbl>
          <w:p w14:paraId="29887164">
            <w:pPr>
              <w:keepNext w:val="0"/>
              <w:keepLines w:val="0"/>
              <w:suppressLineNumbers w:val="0"/>
              <w:spacing w:before="0" w:beforeAutospacing="0" w:after="0" w:afterAutospacing="0"/>
              <w:ind w:left="0" w:right="0"/>
              <w:rPr>
                <w:rFonts w:hint="eastAsia"/>
                <w:color w:val="auto"/>
                <w:lang w:val="en-US" w:eastAsia="zh-CN"/>
              </w:rPr>
            </w:pPr>
          </w:p>
          <w:p w14:paraId="1512B8A2">
            <w:pPr>
              <w:pStyle w:val="24"/>
              <w:keepNext w:val="0"/>
              <w:keepLines w:val="0"/>
              <w:numPr>
                <w:ilvl w:val="0"/>
                <w:numId w:val="0"/>
              </w:numPr>
              <w:suppressLineNumbers w:val="0"/>
              <w:adjustRightInd w:val="0"/>
              <w:snapToGrid w:val="0"/>
              <w:spacing w:before="0" w:beforeAutospacing="0" w:after="0" w:afterAutospacing="0" w:line="360" w:lineRule="auto"/>
              <w:ind w:left="0" w:right="0" w:rightChars="0" w:firstLine="482" w:firstLineChars="200"/>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2、大气污染物排放标准</w:t>
            </w:r>
          </w:p>
          <w:p w14:paraId="0FE80119">
            <w:pPr>
              <w:keepNext w:val="0"/>
              <w:keepLines w:val="0"/>
              <w:numPr>
                <w:ilvl w:val="0"/>
                <w:numId w:val="0"/>
              </w:numPr>
              <w:suppressLineNumbers w:val="0"/>
              <w:spacing w:before="0" w:beforeAutospacing="0" w:after="0" w:afterAutospacing="0" w:line="360" w:lineRule="auto"/>
              <w:ind w:left="0" w:right="0" w:firstLine="480" w:firstLineChars="200"/>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粉尘颗粒</w:t>
            </w:r>
            <w:r>
              <w:rPr>
                <w:rFonts w:hint="default" w:ascii="Times New Roman" w:hAnsi="Times New Roman" w:eastAsia="宋体" w:cs="Times New Roman"/>
                <w:color w:val="auto"/>
                <w:kern w:val="2"/>
                <w:sz w:val="24"/>
                <w:szCs w:val="24"/>
                <w:lang w:val="en-US" w:eastAsia="zh-CN" w:bidi="ar-SA"/>
              </w:rPr>
              <w:t>执行广东省地方标准《大气污染物排放限值》（DB 44/27-2001）颗粒物第二时段</w:t>
            </w:r>
            <w:r>
              <w:rPr>
                <w:rFonts w:hint="eastAsia" w:ascii="Times New Roman" w:hAnsi="Times New Roman" w:eastAsia="宋体" w:cs="Times New Roman"/>
                <w:color w:val="auto"/>
                <w:kern w:val="2"/>
                <w:sz w:val="24"/>
                <w:szCs w:val="24"/>
                <w:lang w:val="en-US" w:eastAsia="zh-CN" w:bidi="ar-SA"/>
              </w:rPr>
              <w:t>无组织</w:t>
            </w:r>
            <w:r>
              <w:rPr>
                <w:rFonts w:hint="default" w:ascii="Times New Roman" w:hAnsi="Times New Roman" w:eastAsia="宋体" w:cs="Times New Roman"/>
                <w:color w:val="auto"/>
                <w:kern w:val="2"/>
                <w:sz w:val="24"/>
                <w:szCs w:val="24"/>
                <w:lang w:val="en-US" w:eastAsia="zh-CN" w:bidi="ar-SA"/>
              </w:rPr>
              <w:t>排放</w:t>
            </w:r>
            <w:r>
              <w:rPr>
                <w:rFonts w:hint="eastAsia" w:ascii="Times New Roman" w:hAnsi="Times New Roman" w:eastAsia="宋体" w:cs="Times New Roman"/>
                <w:color w:val="auto"/>
                <w:kern w:val="2"/>
                <w:sz w:val="24"/>
                <w:szCs w:val="24"/>
                <w:lang w:val="en-US" w:eastAsia="zh-CN" w:bidi="ar-SA"/>
              </w:rPr>
              <w:t>监控浓度限值</w:t>
            </w:r>
            <w:r>
              <w:rPr>
                <w:rFonts w:hint="default" w:ascii="Times New Roman" w:hAnsi="Times New Roman" w:eastAsia="宋体" w:cs="Times New Roman"/>
                <w:color w:val="auto"/>
                <w:kern w:val="2"/>
                <w:sz w:val="24"/>
                <w:szCs w:val="24"/>
                <w:lang w:val="en-US" w:eastAsia="zh-CN" w:bidi="ar-SA"/>
              </w:rPr>
              <w:t>；详见下表：</w:t>
            </w:r>
          </w:p>
          <w:p w14:paraId="5B67980B">
            <w:pPr>
              <w:keepNext w:val="0"/>
              <w:keepLines w:val="0"/>
              <w:numPr>
                <w:ilvl w:val="0"/>
                <w:numId w:val="0"/>
              </w:numPr>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表3-8 大气污染物排放标准</w:t>
            </w:r>
          </w:p>
          <w:tbl>
            <w:tblPr>
              <w:tblStyle w:val="36"/>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4088"/>
              <w:gridCol w:w="2673"/>
            </w:tblGrid>
            <w:tr w14:paraId="72F2D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58" w:type="dxa"/>
                  <w:vAlign w:val="center"/>
                </w:tcPr>
                <w:p w14:paraId="0CB90E57">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污染物</w:t>
                  </w:r>
                </w:p>
              </w:tc>
              <w:tc>
                <w:tcPr>
                  <w:tcW w:w="4093" w:type="dxa"/>
                  <w:vAlign w:val="center"/>
                </w:tcPr>
                <w:p w14:paraId="2D0B2316">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无组织排放监控浓度限值</w:t>
                  </w:r>
                </w:p>
              </w:tc>
              <w:tc>
                <w:tcPr>
                  <w:tcW w:w="2676" w:type="dxa"/>
                  <w:vAlign w:val="center"/>
                </w:tcPr>
                <w:p w14:paraId="37B13BAB">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标准</w:t>
                  </w:r>
                </w:p>
              </w:tc>
            </w:tr>
            <w:tr w14:paraId="2BD89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8" w:type="dxa"/>
                  <w:vAlign w:val="center"/>
                </w:tcPr>
                <w:p w14:paraId="498AC311">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颗粒物</w:t>
                  </w:r>
                </w:p>
              </w:tc>
              <w:tc>
                <w:tcPr>
                  <w:tcW w:w="4093" w:type="dxa"/>
                  <w:vAlign w:val="center"/>
                </w:tcPr>
                <w:p w14:paraId="5B0B9744">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1.0mg/m</w:t>
                  </w:r>
                  <w:r>
                    <w:rPr>
                      <w:rFonts w:hint="eastAsia" w:ascii="Times New Roman" w:hAnsi="Times New Roman" w:cs="Times New Roman"/>
                      <w:color w:val="auto"/>
                      <w:szCs w:val="21"/>
                      <w:vertAlign w:val="superscript"/>
                      <w:lang w:val="en-US" w:eastAsia="zh-CN"/>
                    </w:rPr>
                    <w:t>3</w:t>
                  </w:r>
                </w:p>
              </w:tc>
              <w:tc>
                <w:tcPr>
                  <w:tcW w:w="2676" w:type="dxa"/>
                  <w:vAlign w:val="center"/>
                </w:tcPr>
                <w:p w14:paraId="50BE8EE6">
                  <w:pPr>
                    <w:pStyle w:val="66"/>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广东省地方标准《大气污染物排放限值》（DB 44/27-2001）颗粒物第二时段无组织排放浓度限制</w:t>
                  </w:r>
                </w:p>
              </w:tc>
            </w:tr>
          </w:tbl>
          <w:p w14:paraId="7761EDCA">
            <w:pPr>
              <w:pStyle w:val="24"/>
              <w:keepNext w:val="0"/>
              <w:keepLines w:val="0"/>
              <w:numPr>
                <w:ilvl w:val="0"/>
                <w:numId w:val="0"/>
              </w:numPr>
              <w:suppressLineNumbers w:val="0"/>
              <w:adjustRightInd w:val="0"/>
              <w:snapToGrid w:val="0"/>
              <w:spacing w:before="0" w:beforeAutospacing="0" w:after="0" w:afterAutospacing="0" w:line="360" w:lineRule="auto"/>
              <w:ind w:left="0" w:right="0" w:rightChars="0" w:firstLine="482" w:firstLineChars="200"/>
              <w:rPr>
                <w:rFonts w:hint="eastAsia" w:cs="Times New Roman"/>
                <w:color w:val="auto"/>
                <w:sz w:val="24"/>
                <w:szCs w:val="24"/>
              </w:rPr>
            </w:pPr>
            <w:r>
              <w:rPr>
                <w:rFonts w:hint="eastAsia" w:ascii="Times New Roman" w:hAnsi="Times New Roman" w:cs="Times New Roman"/>
                <w:b/>
                <w:bCs/>
                <w:color w:val="auto"/>
                <w:kern w:val="2"/>
                <w:sz w:val="24"/>
                <w:szCs w:val="24"/>
                <w:lang w:val="en-US" w:eastAsia="zh-CN" w:bidi="ar-SA"/>
              </w:rPr>
              <w:t>3</w:t>
            </w:r>
            <w:r>
              <w:rPr>
                <w:rFonts w:hint="default" w:ascii="Times New Roman" w:hAnsi="Times New Roman" w:cs="Times New Roman" w:eastAsiaTheme="minorEastAsia"/>
                <w:b/>
                <w:bCs/>
                <w:color w:val="auto"/>
                <w:kern w:val="2"/>
                <w:sz w:val="24"/>
                <w:szCs w:val="24"/>
                <w:lang w:val="en-US" w:eastAsia="zh-CN" w:bidi="ar-SA"/>
              </w:rPr>
              <w:t>、</w:t>
            </w:r>
            <w:r>
              <w:rPr>
                <w:rFonts w:hint="default" w:ascii="Times New Roman" w:hAnsi="Times New Roman" w:eastAsia="宋体" w:cs="Times New Roman"/>
                <w:b/>
                <w:bCs/>
                <w:color w:val="auto"/>
                <w:sz w:val="24"/>
                <w:szCs w:val="24"/>
              </w:rPr>
              <w:t>噪声排放标准</w:t>
            </w:r>
          </w:p>
          <w:p w14:paraId="3CA6471E">
            <w:pPr>
              <w:pStyle w:val="24"/>
              <w:keepNext w:val="0"/>
              <w:keepLines w:val="0"/>
              <w:numPr>
                <w:ilvl w:val="0"/>
                <w:numId w:val="0"/>
              </w:numPr>
              <w:suppressLineNumbers w:val="0"/>
              <w:adjustRightInd w:val="0"/>
              <w:snapToGrid w:val="0"/>
              <w:spacing w:before="0" w:beforeAutospacing="0" w:after="0" w:afterAutospacing="0" w:line="360" w:lineRule="auto"/>
              <w:ind w:left="0" w:right="0" w:rightChars="0" w:firstLine="480" w:firstLineChars="200"/>
              <w:rPr>
                <w:rFonts w:hint="eastAsia" w:cs="Times New Roman"/>
                <w:color w:val="auto"/>
                <w:sz w:val="24"/>
                <w:szCs w:val="24"/>
                <w:lang w:eastAsia="zh-CN"/>
              </w:rPr>
            </w:pPr>
            <w:r>
              <w:rPr>
                <w:rFonts w:hint="eastAsia" w:cs="Times New Roman"/>
                <w:color w:val="auto"/>
                <w:sz w:val="24"/>
                <w:szCs w:val="24"/>
                <w:lang w:val="en-US" w:eastAsia="zh-CN"/>
              </w:rPr>
              <w:t>依据《湛江市城市声环境功能区划分》（</w:t>
            </w:r>
            <w:r>
              <w:rPr>
                <w:rFonts w:hint="default" w:ascii="Times New Roman" w:hAnsi="Times New Roman" w:cs="Times New Roman"/>
                <w:color w:val="auto"/>
                <w:sz w:val="24"/>
                <w:szCs w:val="24"/>
                <w:lang w:val="en-US" w:eastAsia="zh-CN"/>
              </w:rPr>
              <w:t>2020</w:t>
            </w:r>
            <w:r>
              <w:rPr>
                <w:rFonts w:hint="eastAsia" w:cs="Times New Roman"/>
                <w:color w:val="auto"/>
                <w:sz w:val="24"/>
                <w:szCs w:val="24"/>
                <w:lang w:val="en-US" w:eastAsia="zh-CN"/>
              </w:rPr>
              <w:t>年修订），项目为声环境</w:t>
            </w:r>
            <w:r>
              <w:rPr>
                <w:rFonts w:hint="eastAsia" w:ascii="Times New Roman" w:hAnsi="Times New Roman" w:cs="Times New Roman"/>
                <w:color w:val="auto"/>
                <w:sz w:val="24"/>
                <w:szCs w:val="24"/>
                <w:lang w:val="en-US" w:eastAsia="zh-CN"/>
              </w:rPr>
              <w:t>2</w:t>
            </w:r>
            <w:r>
              <w:rPr>
                <w:rFonts w:hint="eastAsia" w:cs="Times New Roman"/>
                <w:color w:val="auto"/>
                <w:sz w:val="24"/>
                <w:szCs w:val="24"/>
                <w:lang w:val="en-US" w:eastAsia="zh-CN"/>
              </w:rPr>
              <w:t>类区。因此本项目</w:t>
            </w:r>
            <w:r>
              <w:rPr>
                <w:rFonts w:hint="default" w:cs="Times New Roman"/>
                <w:color w:val="auto"/>
                <w:sz w:val="24"/>
                <w:szCs w:val="24"/>
              </w:rPr>
              <w:t>运营期执行《工业企业厂界环境噪声排放标准》（</w:t>
            </w:r>
            <w:r>
              <w:rPr>
                <w:rFonts w:hint="default" w:ascii="Times New Roman" w:hAnsi="Times New Roman" w:cs="Times New Roman"/>
                <w:color w:val="auto"/>
                <w:sz w:val="24"/>
                <w:szCs w:val="24"/>
              </w:rPr>
              <w:t>GB12348</w:t>
            </w:r>
            <w:r>
              <w:rPr>
                <w:rFonts w:hint="default" w:cs="Times New Roman"/>
                <w:color w:val="auto"/>
                <w:sz w:val="24"/>
                <w:szCs w:val="24"/>
              </w:rPr>
              <w:t>-</w:t>
            </w:r>
            <w:r>
              <w:rPr>
                <w:rFonts w:hint="default" w:ascii="Times New Roman" w:hAnsi="Times New Roman" w:cs="Times New Roman"/>
                <w:color w:val="auto"/>
                <w:sz w:val="24"/>
                <w:szCs w:val="24"/>
              </w:rPr>
              <w:t>2008</w:t>
            </w:r>
            <w:r>
              <w:rPr>
                <w:rFonts w:hint="default" w:cs="Times New Roman"/>
                <w:color w:val="auto"/>
                <w:sz w:val="24"/>
                <w:szCs w:val="24"/>
              </w:rPr>
              <w:t>）中</w:t>
            </w:r>
            <w:r>
              <w:rPr>
                <w:rFonts w:hint="eastAsia" w:ascii="Times New Roman" w:hAnsi="Times New Roman" w:cs="Times New Roman"/>
                <w:color w:val="auto"/>
                <w:sz w:val="24"/>
                <w:szCs w:val="24"/>
                <w:lang w:val="en-US" w:eastAsia="zh-CN"/>
              </w:rPr>
              <w:t>2</w:t>
            </w:r>
            <w:r>
              <w:rPr>
                <w:rFonts w:hint="default" w:cs="Times New Roman"/>
                <w:color w:val="auto"/>
                <w:sz w:val="24"/>
                <w:szCs w:val="24"/>
              </w:rPr>
              <w:t>类标准</w:t>
            </w:r>
            <w:r>
              <w:rPr>
                <w:rFonts w:hint="eastAsia" w:cs="Times New Roman"/>
                <w:color w:val="auto"/>
                <w:sz w:val="24"/>
                <w:szCs w:val="24"/>
              </w:rPr>
              <w:t>，</w:t>
            </w:r>
            <w:r>
              <w:rPr>
                <w:rFonts w:hint="default" w:cs="Times New Roman"/>
                <w:color w:val="auto"/>
                <w:sz w:val="24"/>
                <w:szCs w:val="24"/>
              </w:rPr>
              <w:t>详见下表</w:t>
            </w:r>
            <w:r>
              <w:rPr>
                <w:rFonts w:hint="eastAsia" w:cs="Times New Roman"/>
                <w:color w:val="auto"/>
                <w:sz w:val="24"/>
                <w:szCs w:val="24"/>
                <w:lang w:eastAsia="zh-CN"/>
              </w:rPr>
              <w:t>：</w:t>
            </w:r>
          </w:p>
          <w:p w14:paraId="1A1B8C2A">
            <w:pPr>
              <w:pStyle w:val="55"/>
              <w:keepNext w:val="0"/>
              <w:keepLines w:val="0"/>
              <w:suppressLineNumbers w:val="0"/>
              <w:spacing w:before="0" w:beforeAutospacing="0" w:after="0" w:afterAutospacing="0"/>
              <w:ind w:left="0" w:right="0" w:firstLine="1687" w:firstLineChars="800"/>
              <w:jc w:val="both"/>
              <w:rPr>
                <w:rFonts w:hint="default" w:cs="Times New Roman"/>
                <w:color w:val="auto"/>
                <w:sz w:val="21"/>
                <w:szCs w:val="21"/>
              </w:rPr>
            </w:pPr>
            <w:r>
              <w:rPr>
                <w:rFonts w:hint="default" w:cs="Times New Roman"/>
                <w:color w:val="auto"/>
                <w:sz w:val="21"/>
                <w:szCs w:val="21"/>
              </w:rPr>
              <w:t>表</w:t>
            </w:r>
            <w:r>
              <w:rPr>
                <w:rFonts w:hint="eastAsia" w:ascii="Times New Roman" w:hAnsi="Times New Roman" w:cs="Times New Roman"/>
                <w:color w:val="auto"/>
                <w:sz w:val="21"/>
                <w:szCs w:val="21"/>
                <w:lang w:val="en-US" w:eastAsia="zh-CN"/>
              </w:rPr>
              <w:t>3</w:t>
            </w: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9</w:t>
            </w:r>
            <w:r>
              <w:rPr>
                <w:rFonts w:hint="eastAsia" w:cs="Times New Roman"/>
                <w:color w:val="auto"/>
                <w:sz w:val="21"/>
                <w:szCs w:val="21"/>
                <w:lang w:val="en-US" w:eastAsia="zh-CN"/>
              </w:rPr>
              <w:t xml:space="preserve"> 工业企业厂界</w:t>
            </w:r>
            <w:r>
              <w:rPr>
                <w:rFonts w:hint="default" w:cs="Times New Roman"/>
                <w:color w:val="auto"/>
                <w:sz w:val="21"/>
                <w:szCs w:val="21"/>
              </w:rPr>
              <w:t>噪声排放</w:t>
            </w:r>
            <w:r>
              <w:rPr>
                <w:rFonts w:hint="eastAsia" w:cs="Times New Roman"/>
                <w:color w:val="auto"/>
                <w:sz w:val="21"/>
                <w:szCs w:val="21"/>
                <w:lang w:val="en-US" w:eastAsia="zh-CN"/>
              </w:rPr>
              <w:t>限值</w:t>
            </w:r>
            <w:r>
              <w:rPr>
                <w:rFonts w:hint="default" w:cs="Times New Roman"/>
                <w:color w:val="auto"/>
                <w:sz w:val="21"/>
                <w:szCs w:val="21"/>
              </w:rPr>
              <w:t xml:space="preserve">  单位：</w:t>
            </w:r>
            <w:r>
              <w:rPr>
                <w:rFonts w:hint="default" w:ascii="Times New Roman" w:hAnsi="Times New Roman" w:cs="Times New Roman"/>
                <w:color w:val="auto"/>
                <w:sz w:val="21"/>
                <w:szCs w:val="21"/>
              </w:rPr>
              <w:t>dB</w:t>
            </w:r>
            <w:r>
              <w:rPr>
                <w:rFonts w:hint="default" w:cs="Times New Roman"/>
                <w:color w:val="auto"/>
                <w:sz w:val="21"/>
                <w:szCs w:val="21"/>
              </w:rPr>
              <w:t>(</w:t>
            </w:r>
            <w:r>
              <w:rPr>
                <w:rFonts w:hint="default" w:ascii="Times New Roman" w:hAnsi="Times New Roman" w:cs="Times New Roman"/>
                <w:color w:val="auto"/>
                <w:sz w:val="21"/>
                <w:szCs w:val="21"/>
              </w:rPr>
              <w:t>A</w:t>
            </w:r>
            <w:r>
              <w:rPr>
                <w:rFonts w:hint="default" w:cs="Times New Roman"/>
                <w:color w:val="auto"/>
                <w:sz w:val="21"/>
                <w:szCs w:val="21"/>
              </w:rPr>
              <w:t>)</w:t>
            </w:r>
          </w:p>
          <w:tbl>
            <w:tblPr>
              <w:tblStyle w:val="35"/>
              <w:tblW w:w="8078"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3"/>
              <w:gridCol w:w="1819"/>
              <w:gridCol w:w="2412"/>
              <w:gridCol w:w="1743"/>
              <w:gridCol w:w="1121"/>
            </w:tblGrid>
            <w:tr w14:paraId="502B136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3" w:type="dxa"/>
                  <w:vMerge w:val="restart"/>
                  <w:tcBorders>
                    <w:top w:val="single" w:color="auto" w:sz="2" w:space="0"/>
                    <w:left w:val="single" w:color="auto" w:sz="0" w:space="0"/>
                  </w:tcBorders>
                  <w:noWrap w:val="0"/>
                  <w:vAlign w:val="center"/>
                </w:tcPr>
                <w:p w14:paraId="6E1AF954">
                  <w:pPr>
                    <w:pStyle w:val="66"/>
                    <w:keepNext w:val="0"/>
                    <w:keepLines w:val="0"/>
                    <w:suppressLineNumbers w:val="0"/>
                    <w:spacing w:before="0" w:beforeAutospacing="0" w:after="0" w:afterAutospacing="0"/>
                    <w:ind w:left="0" w:right="0"/>
                    <w:rPr>
                      <w:rFonts w:hint="default" w:cs="Times New Roman"/>
                      <w:color w:val="auto"/>
                      <w:szCs w:val="21"/>
                    </w:rPr>
                  </w:pPr>
                  <w:r>
                    <w:rPr>
                      <w:rFonts w:hint="default" w:cs="Times New Roman"/>
                      <w:color w:val="auto"/>
                      <w:szCs w:val="21"/>
                    </w:rPr>
                    <w:t>时段</w:t>
                  </w:r>
                </w:p>
              </w:tc>
              <w:tc>
                <w:tcPr>
                  <w:tcW w:w="1819" w:type="dxa"/>
                  <w:vMerge w:val="restart"/>
                  <w:tcBorders>
                    <w:top w:val="single" w:color="auto" w:sz="2" w:space="0"/>
                  </w:tcBorders>
                  <w:noWrap w:val="0"/>
                  <w:vAlign w:val="center"/>
                </w:tcPr>
                <w:p w14:paraId="02362A9E">
                  <w:pPr>
                    <w:pStyle w:val="66"/>
                    <w:keepNext w:val="0"/>
                    <w:keepLines w:val="0"/>
                    <w:suppressLineNumbers w:val="0"/>
                    <w:spacing w:before="0" w:beforeAutospacing="0" w:after="0" w:afterAutospacing="0"/>
                    <w:ind w:left="0" w:right="0"/>
                    <w:rPr>
                      <w:rFonts w:hint="default" w:cs="Times New Roman"/>
                      <w:color w:val="auto"/>
                      <w:szCs w:val="21"/>
                    </w:rPr>
                  </w:pPr>
                  <w:r>
                    <w:rPr>
                      <w:rFonts w:hint="default" w:cs="Times New Roman"/>
                      <w:color w:val="auto"/>
                      <w:szCs w:val="21"/>
                    </w:rPr>
                    <w:t>场界</w:t>
                  </w:r>
                </w:p>
              </w:tc>
              <w:tc>
                <w:tcPr>
                  <w:tcW w:w="2412" w:type="dxa"/>
                  <w:vMerge w:val="restart"/>
                  <w:tcBorders>
                    <w:top w:val="single" w:color="auto" w:sz="2" w:space="0"/>
                  </w:tcBorders>
                  <w:noWrap w:val="0"/>
                  <w:vAlign w:val="center"/>
                </w:tcPr>
                <w:p w14:paraId="5DDB3BF6">
                  <w:pPr>
                    <w:pStyle w:val="66"/>
                    <w:keepNext w:val="0"/>
                    <w:keepLines w:val="0"/>
                    <w:suppressLineNumbers w:val="0"/>
                    <w:spacing w:before="0" w:beforeAutospacing="0" w:after="0" w:afterAutospacing="0"/>
                    <w:ind w:left="0" w:right="0"/>
                    <w:rPr>
                      <w:rFonts w:hint="default" w:cs="Times New Roman"/>
                      <w:color w:val="auto"/>
                      <w:szCs w:val="21"/>
                    </w:rPr>
                  </w:pPr>
                  <w:r>
                    <w:rPr>
                      <w:rFonts w:hint="default" w:cs="Times New Roman"/>
                      <w:color w:val="auto"/>
                      <w:szCs w:val="21"/>
                    </w:rPr>
                    <w:t>执行标准</w:t>
                  </w:r>
                </w:p>
              </w:tc>
              <w:tc>
                <w:tcPr>
                  <w:tcW w:w="2864" w:type="dxa"/>
                  <w:gridSpan w:val="2"/>
                  <w:tcBorders>
                    <w:top w:val="single" w:color="auto" w:sz="2" w:space="0"/>
                    <w:right w:val="single" w:color="auto" w:sz="2" w:space="0"/>
                  </w:tcBorders>
                  <w:noWrap w:val="0"/>
                  <w:vAlign w:val="center"/>
                </w:tcPr>
                <w:p w14:paraId="729C52C0">
                  <w:pPr>
                    <w:pStyle w:val="66"/>
                    <w:keepNext w:val="0"/>
                    <w:keepLines w:val="0"/>
                    <w:suppressLineNumbers w:val="0"/>
                    <w:spacing w:before="0" w:beforeAutospacing="0" w:after="0" w:afterAutospacing="0"/>
                    <w:ind w:left="0" w:right="0"/>
                    <w:rPr>
                      <w:rFonts w:hint="default" w:cs="Times New Roman"/>
                      <w:color w:val="auto"/>
                      <w:szCs w:val="21"/>
                    </w:rPr>
                  </w:pPr>
                  <w:r>
                    <w:rPr>
                      <w:rFonts w:hint="default" w:cs="Times New Roman"/>
                      <w:color w:val="auto"/>
                      <w:szCs w:val="21"/>
                    </w:rPr>
                    <w:t>场界环境噪声排放限值</w:t>
                  </w:r>
                </w:p>
              </w:tc>
            </w:tr>
            <w:tr w14:paraId="5101F34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983" w:type="dxa"/>
                  <w:vMerge w:val="continue"/>
                  <w:tcBorders>
                    <w:left w:val="single" w:color="auto" w:sz="4" w:space="0"/>
                  </w:tcBorders>
                  <w:noWrap w:val="0"/>
                  <w:vAlign w:val="center"/>
                </w:tcPr>
                <w:p w14:paraId="4458C44D">
                  <w:pPr>
                    <w:pStyle w:val="66"/>
                    <w:keepNext w:val="0"/>
                    <w:keepLines w:val="0"/>
                    <w:suppressLineNumbers w:val="0"/>
                    <w:spacing w:before="0" w:beforeAutospacing="0" w:after="0" w:afterAutospacing="0"/>
                    <w:ind w:left="0" w:right="0"/>
                    <w:rPr>
                      <w:rFonts w:hint="default" w:cs="Times New Roman"/>
                      <w:color w:val="auto"/>
                      <w:szCs w:val="21"/>
                    </w:rPr>
                  </w:pPr>
                </w:p>
              </w:tc>
              <w:tc>
                <w:tcPr>
                  <w:tcW w:w="1819" w:type="dxa"/>
                  <w:vMerge w:val="continue"/>
                  <w:noWrap w:val="0"/>
                  <w:vAlign w:val="center"/>
                </w:tcPr>
                <w:p w14:paraId="31D18063">
                  <w:pPr>
                    <w:pStyle w:val="66"/>
                    <w:keepNext w:val="0"/>
                    <w:keepLines w:val="0"/>
                    <w:suppressLineNumbers w:val="0"/>
                    <w:spacing w:before="0" w:beforeAutospacing="0" w:after="0" w:afterAutospacing="0"/>
                    <w:ind w:left="0" w:right="0"/>
                    <w:rPr>
                      <w:rFonts w:hint="default" w:cs="Times New Roman"/>
                      <w:color w:val="auto"/>
                      <w:szCs w:val="21"/>
                    </w:rPr>
                  </w:pPr>
                </w:p>
              </w:tc>
              <w:tc>
                <w:tcPr>
                  <w:tcW w:w="2412" w:type="dxa"/>
                  <w:vMerge w:val="continue"/>
                  <w:noWrap w:val="0"/>
                  <w:vAlign w:val="center"/>
                </w:tcPr>
                <w:p w14:paraId="3D929409">
                  <w:pPr>
                    <w:pStyle w:val="66"/>
                    <w:keepNext w:val="0"/>
                    <w:keepLines w:val="0"/>
                    <w:suppressLineNumbers w:val="0"/>
                    <w:spacing w:before="0" w:beforeAutospacing="0" w:after="0" w:afterAutospacing="0"/>
                    <w:ind w:left="0" w:right="0"/>
                    <w:rPr>
                      <w:rFonts w:hint="default" w:cs="Times New Roman"/>
                      <w:color w:val="auto"/>
                      <w:szCs w:val="21"/>
                    </w:rPr>
                  </w:pPr>
                </w:p>
              </w:tc>
              <w:tc>
                <w:tcPr>
                  <w:tcW w:w="1743" w:type="dxa"/>
                  <w:noWrap w:val="0"/>
                  <w:vAlign w:val="center"/>
                </w:tcPr>
                <w:p w14:paraId="33DEB99C">
                  <w:pPr>
                    <w:pStyle w:val="66"/>
                    <w:keepNext w:val="0"/>
                    <w:keepLines w:val="0"/>
                    <w:suppressLineNumbers w:val="0"/>
                    <w:spacing w:before="0" w:beforeAutospacing="0" w:after="0" w:afterAutospacing="0"/>
                    <w:ind w:left="0" w:right="0"/>
                    <w:rPr>
                      <w:rFonts w:hint="default" w:cs="Times New Roman"/>
                      <w:color w:val="auto"/>
                      <w:szCs w:val="21"/>
                    </w:rPr>
                  </w:pPr>
                  <w:r>
                    <w:rPr>
                      <w:rFonts w:hint="default" w:cs="Times New Roman"/>
                      <w:color w:val="auto"/>
                      <w:szCs w:val="21"/>
                    </w:rPr>
                    <w:t>昼间</w:t>
                  </w:r>
                </w:p>
              </w:tc>
              <w:tc>
                <w:tcPr>
                  <w:tcW w:w="1121" w:type="dxa"/>
                  <w:tcBorders>
                    <w:right w:val="single" w:color="auto" w:sz="2" w:space="0"/>
                  </w:tcBorders>
                  <w:noWrap w:val="0"/>
                  <w:vAlign w:val="center"/>
                </w:tcPr>
                <w:p w14:paraId="257CD2F1">
                  <w:pPr>
                    <w:pStyle w:val="66"/>
                    <w:keepNext w:val="0"/>
                    <w:keepLines w:val="0"/>
                    <w:suppressLineNumbers w:val="0"/>
                    <w:spacing w:before="0" w:beforeAutospacing="0" w:after="0" w:afterAutospacing="0"/>
                    <w:ind w:left="0" w:right="0"/>
                    <w:rPr>
                      <w:rFonts w:hint="default" w:cs="Times New Roman"/>
                      <w:color w:val="auto"/>
                      <w:szCs w:val="21"/>
                    </w:rPr>
                  </w:pPr>
                  <w:r>
                    <w:rPr>
                      <w:rFonts w:hint="default" w:cs="Times New Roman"/>
                      <w:color w:val="auto"/>
                      <w:szCs w:val="21"/>
                    </w:rPr>
                    <w:t>夜间</w:t>
                  </w:r>
                </w:p>
              </w:tc>
            </w:tr>
            <w:tr w14:paraId="3F91760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3" w:type="dxa"/>
                  <w:tcBorders>
                    <w:left w:val="single" w:color="auto" w:sz="4" w:space="0"/>
                  </w:tcBorders>
                  <w:noWrap w:val="0"/>
                  <w:vAlign w:val="center"/>
                </w:tcPr>
                <w:p w14:paraId="472FC13D">
                  <w:pPr>
                    <w:pStyle w:val="66"/>
                    <w:keepNext w:val="0"/>
                    <w:keepLines w:val="0"/>
                    <w:suppressLineNumbers w:val="0"/>
                    <w:spacing w:before="0" w:beforeAutospacing="0" w:after="0" w:afterAutospacing="0"/>
                    <w:ind w:left="0" w:right="0"/>
                    <w:rPr>
                      <w:rFonts w:hint="default" w:cs="Times New Roman"/>
                      <w:color w:val="auto"/>
                      <w:szCs w:val="21"/>
                    </w:rPr>
                  </w:pPr>
                  <w:r>
                    <w:rPr>
                      <w:rFonts w:hint="default" w:cs="Times New Roman"/>
                      <w:color w:val="auto"/>
                      <w:szCs w:val="21"/>
                    </w:rPr>
                    <w:t>营运期</w:t>
                  </w:r>
                </w:p>
              </w:tc>
              <w:tc>
                <w:tcPr>
                  <w:tcW w:w="1819" w:type="dxa"/>
                  <w:noWrap w:val="0"/>
                  <w:vAlign w:val="center"/>
                </w:tcPr>
                <w:p w14:paraId="1AF7E432">
                  <w:pPr>
                    <w:pStyle w:val="66"/>
                    <w:keepNext w:val="0"/>
                    <w:keepLines w:val="0"/>
                    <w:suppressLineNumbers w:val="0"/>
                    <w:spacing w:before="0" w:beforeAutospacing="0" w:after="0" w:afterAutospacing="0"/>
                    <w:ind w:left="0" w:right="0"/>
                    <w:rPr>
                      <w:rFonts w:hint="default" w:cs="Times New Roman"/>
                      <w:color w:val="auto"/>
                      <w:szCs w:val="21"/>
                    </w:rPr>
                  </w:pPr>
                  <w:r>
                    <w:rPr>
                      <w:rFonts w:hint="eastAsia" w:cs="Times New Roman"/>
                      <w:color w:val="auto"/>
                      <w:szCs w:val="21"/>
                      <w:lang w:val="en-US" w:eastAsia="zh-CN"/>
                    </w:rPr>
                    <w:t>四面</w:t>
                  </w:r>
                  <w:r>
                    <w:rPr>
                      <w:rFonts w:hint="default" w:cs="Times New Roman"/>
                      <w:color w:val="auto"/>
                      <w:szCs w:val="21"/>
                    </w:rPr>
                    <w:t>边界</w:t>
                  </w:r>
                </w:p>
              </w:tc>
              <w:tc>
                <w:tcPr>
                  <w:tcW w:w="2412" w:type="dxa"/>
                  <w:noWrap w:val="0"/>
                  <w:vAlign w:val="center"/>
                </w:tcPr>
                <w:p w14:paraId="74F9138C">
                  <w:pPr>
                    <w:pStyle w:val="66"/>
                    <w:keepNext w:val="0"/>
                    <w:keepLines w:val="0"/>
                    <w:suppressLineNumbers w:val="0"/>
                    <w:spacing w:before="0" w:beforeAutospacing="0" w:after="0" w:afterAutospacing="0"/>
                    <w:ind w:left="0" w:right="0"/>
                    <w:rPr>
                      <w:rFonts w:hint="default" w:cs="Times New Roman"/>
                      <w:color w:val="auto"/>
                      <w:szCs w:val="21"/>
                    </w:rPr>
                  </w:pPr>
                  <w:r>
                    <w:rPr>
                      <w:rFonts w:hint="default" w:cs="Times New Roman"/>
                      <w:color w:val="auto"/>
                      <w:szCs w:val="21"/>
                    </w:rPr>
                    <w:t>（</w:t>
                  </w:r>
                  <w:r>
                    <w:rPr>
                      <w:rFonts w:hint="default" w:ascii="Times New Roman" w:hAnsi="Times New Roman" w:cs="Times New Roman"/>
                      <w:color w:val="auto"/>
                      <w:szCs w:val="21"/>
                    </w:rPr>
                    <w:t>GB12348</w:t>
                  </w:r>
                  <w:r>
                    <w:rPr>
                      <w:rFonts w:hint="default" w:cs="Times New Roman"/>
                      <w:color w:val="auto"/>
                      <w:szCs w:val="21"/>
                    </w:rPr>
                    <w:t>-</w:t>
                  </w:r>
                  <w:r>
                    <w:rPr>
                      <w:rFonts w:hint="default" w:ascii="Times New Roman" w:hAnsi="Times New Roman" w:cs="Times New Roman"/>
                      <w:color w:val="auto"/>
                      <w:szCs w:val="21"/>
                    </w:rPr>
                    <w:t>2008</w:t>
                  </w:r>
                  <w:r>
                    <w:rPr>
                      <w:rFonts w:hint="default" w:cs="Times New Roman"/>
                      <w:color w:val="auto"/>
                      <w:szCs w:val="21"/>
                    </w:rPr>
                    <w:t>）</w:t>
                  </w:r>
                  <w:r>
                    <w:rPr>
                      <w:rFonts w:hint="eastAsia" w:ascii="Times New Roman" w:hAnsi="Times New Roman" w:cs="Times New Roman"/>
                      <w:color w:val="auto"/>
                      <w:szCs w:val="21"/>
                      <w:lang w:val="en-US" w:eastAsia="zh-CN"/>
                    </w:rPr>
                    <w:t>2</w:t>
                  </w:r>
                  <w:r>
                    <w:rPr>
                      <w:rFonts w:hint="default" w:cs="Times New Roman"/>
                      <w:color w:val="auto"/>
                      <w:szCs w:val="21"/>
                    </w:rPr>
                    <w:t>类</w:t>
                  </w:r>
                </w:p>
              </w:tc>
              <w:tc>
                <w:tcPr>
                  <w:tcW w:w="1743" w:type="dxa"/>
                  <w:noWrap w:val="0"/>
                  <w:vAlign w:val="center"/>
                </w:tcPr>
                <w:p w14:paraId="7368BB45">
                  <w:pPr>
                    <w:pStyle w:val="66"/>
                    <w:keepNext w:val="0"/>
                    <w:keepLines w:val="0"/>
                    <w:suppressLineNumbers w:val="0"/>
                    <w:spacing w:before="0" w:beforeAutospacing="0" w:after="0" w:afterAutospacing="0"/>
                    <w:ind w:left="0" w:right="0"/>
                    <w:rPr>
                      <w:rFonts w:hint="default" w:cs="Times New Roman" w:eastAsiaTheme="minorEastAsia"/>
                      <w:color w:val="auto"/>
                      <w:szCs w:val="21"/>
                      <w:lang w:val="en-US" w:eastAsia="zh-CN"/>
                    </w:rPr>
                  </w:pPr>
                  <w:r>
                    <w:rPr>
                      <w:rFonts w:hint="eastAsia" w:ascii="Times New Roman" w:hAnsi="Times New Roman" w:cs="Times New Roman"/>
                      <w:color w:val="auto"/>
                      <w:szCs w:val="21"/>
                      <w:lang w:val="en-US" w:eastAsia="zh-CN"/>
                    </w:rPr>
                    <w:t>60</w:t>
                  </w:r>
                </w:p>
              </w:tc>
              <w:tc>
                <w:tcPr>
                  <w:tcW w:w="1121" w:type="dxa"/>
                  <w:tcBorders>
                    <w:right w:val="single" w:color="auto" w:sz="2" w:space="0"/>
                  </w:tcBorders>
                  <w:noWrap w:val="0"/>
                  <w:vAlign w:val="center"/>
                </w:tcPr>
                <w:p w14:paraId="787F2545">
                  <w:pPr>
                    <w:pStyle w:val="66"/>
                    <w:keepNext w:val="0"/>
                    <w:keepLines w:val="0"/>
                    <w:suppressLineNumbers w:val="0"/>
                    <w:spacing w:before="0" w:beforeAutospacing="0" w:after="0" w:afterAutospacing="0"/>
                    <w:ind w:left="0" w:right="0"/>
                    <w:rPr>
                      <w:rFonts w:hint="default" w:cs="Times New Roman" w:eastAsiaTheme="minorEastAsia"/>
                      <w:color w:val="auto"/>
                      <w:szCs w:val="21"/>
                      <w:lang w:val="en-US" w:eastAsia="zh-CN"/>
                    </w:rPr>
                  </w:pPr>
                  <w:r>
                    <w:rPr>
                      <w:rFonts w:hint="eastAsia" w:ascii="Times New Roman" w:hAnsi="Times New Roman" w:cs="Times New Roman"/>
                      <w:color w:val="auto"/>
                      <w:szCs w:val="21"/>
                      <w:lang w:val="en-US" w:eastAsia="zh-CN"/>
                    </w:rPr>
                    <w:t>50</w:t>
                  </w:r>
                </w:p>
              </w:tc>
            </w:tr>
          </w:tbl>
          <w:p w14:paraId="67020533">
            <w:pPr>
              <w:pStyle w:val="24"/>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、项目固体废物执行标准</w:t>
            </w:r>
          </w:p>
          <w:p w14:paraId="6C2B3376">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sz w:val="24"/>
                <w:szCs w:val="24"/>
              </w:rPr>
              <w:t>一般工业固体废物执行《一般工业固体废物贮存和填埋污染控制标准》（GB18599-2020）。</w:t>
            </w:r>
          </w:p>
        </w:tc>
      </w:tr>
      <w:tr w14:paraId="53A44D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6" w:type="dxa"/>
            <w:vAlign w:val="center"/>
          </w:tcPr>
          <w:p w14:paraId="38AD6E6D">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总量</w:t>
            </w:r>
          </w:p>
          <w:p w14:paraId="64A7DC85">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控制</w:t>
            </w:r>
          </w:p>
          <w:p w14:paraId="78969483">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指标</w:t>
            </w:r>
          </w:p>
        </w:tc>
        <w:tc>
          <w:tcPr>
            <w:tcW w:w="8243" w:type="dxa"/>
            <w:vAlign w:val="center"/>
          </w:tcPr>
          <w:p w14:paraId="7AECF7FC">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关于印发〈主要污染物总量减排核算技术指南（2022年修订）〉的通知》（环办综合函〔2022〕350号），实施总量控制的主要污染物包括化学需氧量（COD）、氨氮（NH3-N）、氮氧化物（NOX）、挥发性有机物（VOCs）等4项污染。根据《湛江市人民政府关于印发湛江市“三线一单”生态环境分区管控方案的通知》（湛府〔2021〕30号）污染物排放管控要求：实施重点污染物（重点污染物包括化学需氧量、氨氮、氮氧化物及挥发性有机物等）总量控制，新建项目原则上实施氮氧化物和挥发性有机物等量替代或减量替代；超过重点污染物排放总量控制指标或未完成环境质量改善目标的区域，新建、改建和扩建实施重点污染物减量替代。综合确定本项目总量控制指标如下：</w:t>
            </w:r>
          </w:p>
          <w:p w14:paraId="38F47B64">
            <w:pPr>
              <w:keepNext w:val="0"/>
              <w:keepLines w:val="0"/>
              <w:suppressLineNumbers w:val="0"/>
              <w:tabs>
                <w:tab w:val="left" w:pos="1999"/>
              </w:tabs>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szCs w:val="24"/>
                <w:lang w:val="en-US" w:eastAsia="zh-CN"/>
              </w:rPr>
            </w:pPr>
            <w:r>
              <w:rPr>
                <w:rFonts w:hint="eastAsia"/>
                <w:color w:val="auto"/>
                <w:sz w:val="24"/>
                <w:lang w:val="en-US" w:eastAsia="zh-CN"/>
              </w:rPr>
              <w:t>大</w:t>
            </w:r>
            <w:r>
              <w:rPr>
                <w:rFonts w:hint="default"/>
                <w:color w:val="auto"/>
                <w:sz w:val="24"/>
              </w:rPr>
              <w:t>气污染物</w:t>
            </w:r>
            <w:r>
              <w:rPr>
                <w:rFonts w:hint="eastAsia"/>
                <w:color w:val="auto"/>
                <w:sz w:val="24"/>
                <w:lang w:val="en-US" w:eastAsia="zh-CN"/>
              </w:rPr>
              <w:t>排放</w:t>
            </w:r>
            <w:r>
              <w:rPr>
                <w:rFonts w:hint="default"/>
                <w:color w:val="auto"/>
                <w:sz w:val="24"/>
              </w:rPr>
              <w:t>总量：</w:t>
            </w:r>
            <w:r>
              <w:rPr>
                <w:rFonts w:hint="eastAsia" w:ascii="Times New Roman" w:hAnsi="Times New Roman" w:eastAsia="宋体" w:cs="Times New Roman"/>
                <w:color w:val="auto"/>
                <w:sz w:val="24"/>
                <w:szCs w:val="24"/>
                <w:lang w:val="en-US" w:eastAsia="zh-CN"/>
              </w:rPr>
              <w:t>本项目不设废气污染物总量控制指标。</w:t>
            </w:r>
          </w:p>
          <w:p w14:paraId="14715339">
            <w:pPr>
              <w:keepNext w:val="0"/>
              <w:keepLines w:val="0"/>
              <w:suppressLineNumbers w:val="0"/>
              <w:tabs>
                <w:tab w:val="left" w:pos="1999"/>
              </w:tabs>
              <w:spacing w:before="0" w:beforeAutospacing="0" w:after="0" w:afterAutospacing="0" w:line="360" w:lineRule="auto"/>
              <w:ind w:left="0" w:right="0" w:firstLine="480" w:firstLineChars="200"/>
              <w:jc w:val="left"/>
              <w:rPr>
                <w:rFonts w:hint="default"/>
                <w:color w:val="auto"/>
                <w:lang w:val="en-US" w:eastAsia="zh-CN"/>
              </w:rPr>
            </w:pPr>
            <w:r>
              <w:rPr>
                <w:rFonts w:hint="default"/>
                <w:color w:val="auto"/>
                <w:sz w:val="24"/>
              </w:rPr>
              <w:t>水污染物总量控制指标：本项目营运期</w:t>
            </w:r>
            <w:r>
              <w:rPr>
                <w:rFonts w:hint="eastAsia"/>
                <w:color w:val="auto"/>
                <w:sz w:val="24"/>
                <w:lang w:val="en-US" w:eastAsia="zh-CN"/>
              </w:rPr>
              <w:t>生活</w:t>
            </w:r>
            <w:r>
              <w:rPr>
                <w:rFonts w:hint="default"/>
                <w:color w:val="auto"/>
                <w:sz w:val="24"/>
              </w:rPr>
              <w:t>废水</w:t>
            </w:r>
            <w:r>
              <w:rPr>
                <w:rFonts w:hint="eastAsia"/>
                <w:color w:val="auto"/>
                <w:sz w:val="24"/>
                <w:lang w:val="en-US" w:eastAsia="zh-CN"/>
              </w:rPr>
              <w:t>经三级化粪池处理后用于项目周边林地灌溉，车辆冲洗废水沉淀后回用，不外排。</w:t>
            </w:r>
            <w:r>
              <w:rPr>
                <w:rFonts w:hint="default"/>
                <w:color w:val="auto"/>
                <w:sz w:val="24"/>
              </w:rPr>
              <w:t>故本项目不设水污染物总量控制指标。</w:t>
            </w:r>
          </w:p>
        </w:tc>
      </w:tr>
    </w:tbl>
    <w:p w14:paraId="60786F79">
      <w:pPr>
        <w:pStyle w:val="31"/>
        <w:keepNext w:val="0"/>
        <w:keepLines w:val="0"/>
        <w:pageBreakBefore w:val="0"/>
        <w:widowControl/>
        <w:kinsoku/>
        <w:wordWrap/>
        <w:overflowPunct/>
        <w:topLinePunct w:val="0"/>
        <w:autoSpaceDE/>
        <w:autoSpaceDN/>
        <w:bidi w:val="0"/>
        <w:adjustRightInd/>
        <w:snapToGrid/>
        <w:jc w:val="both"/>
        <w:textAlignment w:val="auto"/>
        <w:outlineLvl w:val="0"/>
        <w:rPr>
          <w:rFonts w:hint="default" w:ascii="Times New Roman" w:hAnsi="Times New Roman" w:eastAsia="宋体" w:cs="Times New Roman"/>
          <w:snapToGrid w:val="0"/>
          <w:color w:val="auto"/>
          <w:sz w:val="30"/>
          <w:szCs w:val="30"/>
        </w:rPr>
      </w:pPr>
    </w:p>
    <w:p w14:paraId="32E70395">
      <w:pPr>
        <w:pStyle w:val="31"/>
        <w:keepNext w:val="0"/>
        <w:keepLines w:val="0"/>
        <w:pageBreakBefore w:val="0"/>
        <w:widowControl/>
        <w:kinsoku/>
        <w:wordWrap/>
        <w:overflowPunct/>
        <w:topLinePunct w:val="0"/>
        <w:autoSpaceDE/>
        <w:autoSpaceDN/>
        <w:bidi w:val="0"/>
        <w:adjustRightInd/>
        <w:snapToGrid/>
        <w:jc w:val="center"/>
        <w:textAlignment w:val="auto"/>
        <w:outlineLvl w:val="0"/>
        <w:rPr>
          <w:rFonts w:hint="default" w:ascii="Times New Roman" w:hAnsi="Times New Roman" w:eastAsia="宋体" w:cs="Times New Roman"/>
          <w:snapToGrid w:val="0"/>
          <w:color w:val="auto"/>
          <w:sz w:val="30"/>
          <w:szCs w:val="30"/>
        </w:rPr>
      </w:pPr>
    </w:p>
    <w:p w14:paraId="3B2341B4">
      <w:pPr>
        <w:pStyle w:val="31"/>
        <w:keepNext w:val="0"/>
        <w:keepLines w:val="0"/>
        <w:pageBreakBefore w:val="0"/>
        <w:widowControl/>
        <w:kinsoku/>
        <w:wordWrap/>
        <w:overflowPunct/>
        <w:topLinePunct w:val="0"/>
        <w:autoSpaceDE/>
        <w:autoSpaceDN/>
        <w:bidi w:val="0"/>
        <w:adjustRightInd/>
        <w:snapToGrid/>
        <w:jc w:val="center"/>
        <w:textAlignment w:val="auto"/>
        <w:outlineLvl w:val="0"/>
        <w:rPr>
          <w:rFonts w:hint="default" w:ascii="Times New Roman" w:hAnsi="Times New Roman" w:eastAsia="宋体" w:cs="Times New Roman"/>
          <w:snapToGrid w:val="0"/>
          <w:color w:val="auto"/>
          <w:sz w:val="30"/>
          <w:szCs w:val="30"/>
        </w:rPr>
      </w:pPr>
    </w:p>
    <w:p w14:paraId="5F43ABFD">
      <w:pPr>
        <w:pStyle w:val="31"/>
        <w:keepNext w:val="0"/>
        <w:keepLines w:val="0"/>
        <w:pageBreakBefore w:val="0"/>
        <w:widowControl/>
        <w:kinsoku/>
        <w:wordWrap/>
        <w:overflowPunct/>
        <w:topLinePunct w:val="0"/>
        <w:autoSpaceDE/>
        <w:autoSpaceDN/>
        <w:bidi w:val="0"/>
        <w:adjustRightInd/>
        <w:snapToGrid/>
        <w:jc w:val="center"/>
        <w:textAlignment w:val="auto"/>
        <w:outlineLvl w:val="0"/>
        <w:rPr>
          <w:rFonts w:hint="default" w:ascii="Times New Roman" w:hAnsi="Times New Roman" w:eastAsia="宋体" w:cs="Times New Roman"/>
          <w:snapToGrid w:val="0"/>
          <w:color w:val="auto"/>
          <w:sz w:val="30"/>
          <w:szCs w:val="30"/>
        </w:rPr>
      </w:pPr>
    </w:p>
    <w:p w14:paraId="2C7B20C9">
      <w:pPr>
        <w:rPr>
          <w:rFonts w:hint="default" w:ascii="Times New Roman" w:hAnsi="Times New Roman" w:eastAsia="宋体" w:cs="Times New Roman"/>
          <w:snapToGrid w:val="0"/>
          <w:color w:val="auto"/>
          <w:sz w:val="30"/>
          <w:szCs w:val="30"/>
        </w:rPr>
      </w:pPr>
      <w:bookmarkStart w:id="17" w:name="_Toc20124"/>
      <w:r>
        <w:rPr>
          <w:rFonts w:hint="default" w:ascii="Times New Roman" w:hAnsi="Times New Roman" w:eastAsia="宋体" w:cs="Times New Roman"/>
          <w:snapToGrid w:val="0"/>
          <w:color w:val="auto"/>
          <w:sz w:val="30"/>
          <w:szCs w:val="30"/>
        </w:rPr>
        <w:br w:type="page"/>
      </w:r>
    </w:p>
    <w:p w14:paraId="467534D0">
      <w:pPr>
        <w:pStyle w:val="31"/>
        <w:keepNext w:val="0"/>
        <w:keepLines w:val="0"/>
        <w:pageBreakBefore w:val="0"/>
        <w:widowControl/>
        <w:kinsoku/>
        <w:wordWrap/>
        <w:overflowPunct/>
        <w:topLinePunct w:val="0"/>
        <w:autoSpaceDE/>
        <w:autoSpaceDN/>
        <w:bidi w:val="0"/>
        <w:adjustRightInd/>
        <w:snapToGrid/>
        <w:jc w:val="center"/>
        <w:textAlignment w:val="auto"/>
        <w:outlineLvl w:val="0"/>
        <w:rPr>
          <w:rFonts w:hint="default" w:ascii="Times New Roman" w:hAnsi="Times New Roman" w:eastAsia="宋体" w:cs="Times New Roman"/>
          <w:snapToGrid w:val="0"/>
          <w:color w:val="auto"/>
          <w:sz w:val="30"/>
          <w:szCs w:val="30"/>
        </w:rPr>
      </w:pPr>
      <w:bookmarkStart w:id="18" w:name="_Toc8056"/>
      <w:r>
        <w:rPr>
          <w:rFonts w:hint="default" w:ascii="Times New Roman" w:hAnsi="Times New Roman" w:eastAsia="宋体" w:cs="Times New Roman"/>
          <w:snapToGrid w:val="0"/>
          <w:color w:val="auto"/>
          <w:sz w:val="30"/>
          <w:szCs w:val="30"/>
        </w:rPr>
        <w:t>四、主要环境影响和保护措施</w:t>
      </w:r>
      <w:bookmarkEnd w:id="17"/>
      <w:bookmarkEnd w:id="18"/>
    </w:p>
    <w:tbl>
      <w:tblPr>
        <w:tblStyle w:val="35"/>
        <w:tblW w:w="888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3"/>
        <w:gridCol w:w="8204"/>
      </w:tblGrid>
      <w:tr w14:paraId="11A5E6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83" w:type="dxa"/>
            <w:tcMar>
              <w:left w:w="28" w:type="dxa"/>
              <w:right w:w="28" w:type="dxa"/>
            </w:tcMar>
            <w:vAlign w:val="center"/>
          </w:tcPr>
          <w:p w14:paraId="63BE46DF">
            <w:pPr>
              <w:pStyle w:val="3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施工</w:t>
            </w:r>
          </w:p>
          <w:p w14:paraId="64200C59">
            <w:pPr>
              <w:pStyle w:val="3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期环</w:t>
            </w:r>
          </w:p>
          <w:p w14:paraId="2C11179B">
            <w:pPr>
              <w:pStyle w:val="3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境保</w:t>
            </w:r>
          </w:p>
          <w:p w14:paraId="2003D91B">
            <w:pPr>
              <w:pStyle w:val="3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护措</w:t>
            </w:r>
          </w:p>
          <w:p w14:paraId="2F2FC93F">
            <w:pPr>
              <w:pStyle w:val="3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4"/>
                <w:szCs w:val="24"/>
              </w:rPr>
            </w:pPr>
            <w:r>
              <w:rPr>
                <w:rFonts w:hint="default" w:ascii="Times New Roman" w:hAnsi="Times New Roman" w:eastAsia="宋体" w:cs="Times New Roman"/>
                <w:color w:val="auto"/>
                <w:kern w:val="2"/>
                <w:sz w:val="24"/>
                <w:szCs w:val="24"/>
              </w:rPr>
              <w:t>施</w:t>
            </w:r>
          </w:p>
        </w:tc>
        <w:tc>
          <w:tcPr>
            <w:tcW w:w="8204" w:type="dxa"/>
            <w:vAlign w:val="center"/>
          </w:tcPr>
          <w:p w14:paraId="46D7A4C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本项目使用已建成厂房，不存在土建工程，无施工期工艺流程。</w:t>
            </w:r>
          </w:p>
        </w:tc>
      </w:tr>
      <w:tr w14:paraId="2F64EE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5" w:hRule="atLeast"/>
          <w:jc w:val="center"/>
        </w:trPr>
        <w:tc>
          <w:tcPr>
            <w:tcW w:w="683" w:type="dxa"/>
            <w:tcMar>
              <w:left w:w="28" w:type="dxa"/>
              <w:right w:w="28" w:type="dxa"/>
            </w:tcMar>
            <w:vAlign w:val="center"/>
          </w:tcPr>
          <w:p w14:paraId="2CE541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运营</w:t>
            </w:r>
          </w:p>
          <w:p w14:paraId="46C85D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期环</w:t>
            </w:r>
          </w:p>
          <w:p w14:paraId="6680B1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境影</w:t>
            </w:r>
          </w:p>
          <w:p w14:paraId="562C6A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响和</w:t>
            </w:r>
          </w:p>
          <w:p w14:paraId="789C4C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保护</w:t>
            </w:r>
          </w:p>
          <w:p w14:paraId="02B405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 w:val="24"/>
                <w:szCs w:val="24"/>
              </w:rPr>
              <w:t>措施</w:t>
            </w:r>
          </w:p>
        </w:tc>
        <w:tc>
          <w:tcPr>
            <w:tcW w:w="8204" w:type="dxa"/>
            <w:vAlign w:val="center"/>
          </w:tcPr>
          <w:p w14:paraId="31627DA3">
            <w:pPr>
              <w:keepNext w:val="0"/>
              <w:keepLines w:val="0"/>
              <w:suppressLineNumbers w:val="0"/>
              <w:adjustRightInd w:val="0"/>
              <w:snapToGrid w:val="0"/>
              <w:spacing w:before="0" w:beforeAutospacing="0" w:after="0" w:afterAutospacing="0" w:line="360" w:lineRule="auto"/>
              <w:ind w:left="0" w:right="0" w:firstLine="482" w:firstLineChars="200"/>
              <w:rPr>
                <w:rFonts w:hint="default" w:cs="Times New Roman" w:asciiTheme="minorHAnsi" w:hAnsiTheme="minorHAnsi" w:eastAsiaTheme="minorEastAsia"/>
                <w:b/>
                <w:bCs/>
                <w:color w:val="auto"/>
                <w:kern w:val="0"/>
                <w:sz w:val="24"/>
                <w:szCs w:val="20"/>
                <w:lang w:val="en-US" w:eastAsia="zh-CN" w:bidi="ar"/>
              </w:rPr>
            </w:pPr>
            <w:r>
              <w:rPr>
                <w:rFonts w:hint="default" w:cs="Times New Roman" w:asciiTheme="minorHAnsi" w:hAnsiTheme="minorHAnsi" w:eastAsiaTheme="minorEastAsia"/>
                <w:b/>
                <w:bCs/>
                <w:color w:val="auto"/>
                <w:kern w:val="0"/>
                <w:sz w:val="24"/>
                <w:szCs w:val="20"/>
                <w:lang w:val="en-US" w:eastAsia="zh-CN" w:bidi="ar"/>
              </w:rPr>
              <w:t>一、废气</w:t>
            </w:r>
          </w:p>
          <w:p w14:paraId="0443EB29">
            <w:pPr>
              <w:keepNext w:val="0"/>
              <w:keepLines w:val="0"/>
              <w:numPr>
                <w:ilvl w:val="0"/>
                <w:numId w:val="0"/>
              </w:numPr>
              <w:suppressLineNumbers w:val="0"/>
              <w:spacing w:before="0" w:beforeAutospacing="0" w:after="0" w:afterAutospacing="0" w:line="360" w:lineRule="auto"/>
              <w:ind w:left="0" w:right="0" w:rightChars="0" w:firstLine="480" w:firstLineChars="200"/>
              <w:rPr>
                <w:rFonts w:hint="eastAsia" w:cs="Times New Roman" w:asciiTheme="minorHAnsi" w:hAnsiTheme="minorHAnsi" w:eastAsiaTheme="minorEastAsia"/>
                <w:color w:val="auto"/>
                <w:kern w:val="0"/>
                <w:sz w:val="24"/>
                <w:szCs w:val="20"/>
                <w:lang w:val="en-US" w:eastAsia="zh-CN" w:bidi="ar"/>
              </w:rPr>
            </w:pPr>
            <w:r>
              <w:rPr>
                <w:rFonts w:hint="eastAsia" w:cs="Times New Roman" w:asciiTheme="minorHAnsi" w:hAnsiTheme="minorHAnsi" w:eastAsiaTheme="minorEastAsia"/>
                <w:color w:val="auto"/>
                <w:kern w:val="0"/>
                <w:sz w:val="24"/>
                <w:szCs w:val="20"/>
                <w:lang w:val="en-US" w:eastAsia="zh-CN" w:bidi="ar"/>
              </w:rPr>
              <w:t>（</w:t>
            </w:r>
            <w:r>
              <w:rPr>
                <w:rFonts w:hint="eastAsia" w:cs="Times New Roman"/>
                <w:color w:val="auto"/>
                <w:kern w:val="0"/>
                <w:sz w:val="24"/>
                <w:szCs w:val="20"/>
                <w:lang w:val="en-US" w:eastAsia="zh-CN" w:bidi="ar"/>
              </w:rPr>
              <w:t>1</w:t>
            </w:r>
            <w:r>
              <w:rPr>
                <w:rFonts w:hint="eastAsia" w:cs="Times New Roman" w:asciiTheme="minorHAnsi" w:hAnsiTheme="minorHAnsi" w:eastAsiaTheme="minorEastAsia"/>
                <w:color w:val="auto"/>
                <w:kern w:val="0"/>
                <w:sz w:val="24"/>
                <w:szCs w:val="20"/>
                <w:lang w:val="en-US" w:eastAsia="zh-CN" w:bidi="ar"/>
              </w:rPr>
              <w:t>）装卸料粉尘</w:t>
            </w:r>
          </w:p>
          <w:p w14:paraId="7A71CF02">
            <w:pPr>
              <w:pStyle w:val="54"/>
              <w:keepNext w:val="0"/>
              <w:keepLines w:val="0"/>
              <w:suppressLineNumbers w:val="0"/>
              <w:spacing w:before="0" w:beforeAutospacing="0" w:after="0" w:afterAutospacing="0" w:line="360" w:lineRule="auto"/>
              <w:ind w:left="0" w:right="0" w:firstLine="480" w:firstLineChars="200"/>
              <w:jc w:val="left"/>
              <w:rPr>
                <w:rFonts w:hint="default" w:cs="Times New Roman" w:asciiTheme="minorHAnsi" w:hAnsiTheme="minorHAnsi" w:eastAsiaTheme="minorEastAsia"/>
                <w:color w:val="auto"/>
                <w:kern w:val="0"/>
                <w:sz w:val="24"/>
                <w:szCs w:val="20"/>
                <w:lang w:val="en-US" w:eastAsia="zh-CN" w:bidi="ar"/>
              </w:rPr>
            </w:pPr>
            <w:r>
              <w:rPr>
                <w:rFonts w:hint="eastAsia" w:cs="Times New Roman"/>
                <w:color w:val="auto"/>
                <w:kern w:val="0"/>
                <w:sz w:val="24"/>
                <w:szCs w:val="20"/>
                <w:lang w:val="en-US" w:eastAsia="zh-CN" w:bidi="ar"/>
              </w:rPr>
              <w:t>建筑垃圾</w:t>
            </w:r>
            <w:r>
              <w:rPr>
                <w:rFonts w:hint="default" w:cs="Times New Roman" w:asciiTheme="minorHAnsi" w:hAnsiTheme="minorHAnsi" w:eastAsiaTheme="minorEastAsia"/>
                <w:color w:val="auto"/>
                <w:kern w:val="0"/>
                <w:sz w:val="24"/>
                <w:szCs w:val="20"/>
                <w:lang w:val="en-US" w:eastAsia="zh-CN" w:bidi="ar"/>
              </w:rPr>
              <w:t>在装卸过程中</w:t>
            </w:r>
            <w:r>
              <w:rPr>
                <w:rFonts w:hint="eastAsia" w:cs="Times New Roman" w:asciiTheme="minorHAnsi" w:hAnsiTheme="minorHAnsi" w:eastAsiaTheme="minorEastAsia"/>
                <w:color w:val="auto"/>
                <w:kern w:val="0"/>
                <w:sz w:val="24"/>
                <w:szCs w:val="20"/>
                <w:lang w:val="en-US" w:eastAsia="zh-CN" w:bidi="ar"/>
              </w:rPr>
              <w:t>会</w:t>
            </w:r>
            <w:r>
              <w:rPr>
                <w:rFonts w:hint="default" w:cs="Times New Roman" w:asciiTheme="minorHAnsi" w:hAnsiTheme="minorHAnsi" w:eastAsiaTheme="minorEastAsia"/>
                <w:color w:val="auto"/>
                <w:kern w:val="0"/>
                <w:sz w:val="24"/>
                <w:szCs w:val="20"/>
                <w:lang w:val="en-US" w:eastAsia="zh-CN" w:bidi="ar"/>
              </w:rPr>
              <w:t>形成扬尘，其起尘量与装卸高度、含水量，风速等有关。堆场装卸过程的主要环节是汽车装卸及物料输送。参照国家环境保护局编写的《全国优秀环境影响报告书汇编》中的经验公式：</w:t>
            </w:r>
          </w:p>
          <w:p w14:paraId="5250750A">
            <w:pPr>
              <w:pStyle w:val="54"/>
              <w:keepNext w:val="0"/>
              <w:keepLines w:val="0"/>
              <w:suppressLineNumbers w:val="0"/>
              <w:spacing w:before="0" w:beforeAutospacing="0" w:after="0" w:afterAutospacing="0"/>
              <w:ind w:left="0" w:right="0" w:firstLine="1575" w:firstLineChars="500"/>
              <w:jc w:val="both"/>
              <w:rPr>
                <w:rFonts w:hint="default" w:eastAsia="Times New Roman"/>
                <w:color w:val="auto"/>
                <w:sz w:val="30"/>
                <w:szCs w:val="30"/>
              </w:rPr>
            </w:pPr>
            <w:r>
              <w:rPr>
                <w:rFonts w:hint="default" w:eastAsia="Times New Roman"/>
                <w:i/>
                <w:color w:val="auto"/>
                <w:w w:val="105"/>
                <w:sz w:val="30"/>
                <w:szCs w:val="30"/>
              </w:rPr>
              <w:t xml:space="preserve">Q </w:t>
            </w:r>
            <w:r>
              <w:rPr>
                <w:rFonts w:hint="default" w:ascii="Symbol" w:hAnsi="Symbol" w:eastAsia="Symbol" w:cs="Symbol"/>
                <w:color w:val="auto"/>
                <w:w w:val="105"/>
                <w:sz w:val="30"/>
                <w:szCs w:val="30"/>
              </w:rPr>
              <w:t></w:t>
            </w:r>
            <w:r>
              <w:rPr>
                <w:rFonts w:hint="default" w:eastAsia="Times New Roman"/>
                <w:color w:val="auto"/>
                <w:spacing w:val="-7"/>
                <w:w w:val="105"/>
                <w:sz w:val="30"/>
                <w:szCs w:val="30"/>
              </w:rPr>
              <w:t>0.0523</w:t>
            </w:r>
            <w:r>
              <w:rPr>
                <w:rFonts w:hint="default" w:eastAsia="Times New Roman"/>
                <w:i/>
                <w:color w:val="auto"/>
                <w:spacing w:val="-7"/>
                <w:w w:val="105"/>
                <w:sz w:val="30"/>
                <w:szCs w:val="30"/>
              </w:rPr>
              <w:t>U</w:t>
            </w:r>
            <w:r>
              <w:rPr>
                <w:rFonts w:hint="default" w:eastAsia="Times New Roman"/>
                <w:color w:val="auto"/>
                <w:spacing w:val="-7"/>
                <w:w w:val="105"/>
                <w:position w:val="13"/>
                <w:sz w:val="17"/>
                <w:szCs w:val="17"/>
              </w:rPr>
              <w:t xml:space="preserve">1.3 </w:t>
            </w:r>
            <w:r>
              <w:rPr>
                <w:rFonts w:hint="default" w:ascii="Symbol" w:hAnsi="Symbol" w:eastAsia="Symbol" w:cs="Symbol"/>
                <w:color w:val="auto"/>
                <w:w w:val="105"/>
                <w:sz w:val="30"/>
                <w:szCs w:val="30"/>
              </w:rPr>
              <w:t></w:t>
            </w:r>
            <w:r>
              <w:rPr>
                <w:rFonts w:hint="default" w:eastAsia="Times New Roman"/>
                <w:i/>
                <w:color w:val="auto"/>
                <w:w w:val="105"/>
                <w:sz w:val="30"/>
                <w:szCs w:val="30"/>
              </w:rPr>
              <w:t xml:space="preserve">H </w:t>
            </w:r>
            <w:r>
              <w:rPr>
                <w:rFonts w:hint="default" w:eastAsia="Times New Roman"/>
                <w:color w:val="auto"/>
                <w:spacing w:val="-9"/>
                <w:w w:val="105"/>
                <w:position w:val="13"/>
                <w:sz w:val="17"/>
                <w:szCs w:val="17"/>
              </w:rPr>
              <w:t>2.01</w:t>
            </w:r>
            <w:r>
              <w:rPr>
                <w:rFonts w:hint="default" w:eastAsia="Times New Roman"/>
                <w:i/>
                <w:color w:val="auto"/>
                <w:spacing w:val="-9"/>
                <w:w w:val="105"/>
                <w:sz w:val="30"/>
                <w:szCs w:val="30"/>
              </w:rPr>
              <w:t xml:space="preserve">W </w:t>
            </w:r>
            <w:r>
              <w:rPr>
                <w:rFonts w:hint="default" w:ascii="Symbol" w:hAnsi="Symbol" w:eastAsia="Symbol" w:cs="Symbol"/>
                <w:color w:val="auto"/>
                <w:spacing w:val="-4"/>
                <w:w w:val="105"/>
                <w:position w:val="13"/>
                <w:sz w:val="17"/>
                <w:szCs w:val="17"/>
              </w:rPr>
              <w:t></w:t>
            </w:r>
            <w:r>
              <w:rPr>
                <w:rFonts w:hint="default" w:eastAsia="Times New Roman"/>
                <w:color w:val="auto"/>
                <w:spacing w:val="-4"/>
                <w:w w:val="105"/>
                <w:position w:val="13"/>
                <w:sz w:val="17"/>
                <w:szCs w:val="17"/>
              </w:rPr>
              <w:t xml:space="preserve">1.4 </w:t>
            </w:r>
            <w:r>
              <w:rPr>
                <w:rFonts w:hint="default" w:ascii="Symbol" w:hAnsi="Symbol" w:eastAsia="Symbol" w:cs="Symbol"/>
                <w:color w:val="auto"/>
                <w:w w:val="105"/>
                <w:sz w:val="30"/>
                <w:szCs w:val="30"/>
              </w:rPr>
              <w:t></w:t>
            </w:r>
            <w:r>
              <w:rPr>
                <w:rFonts w:hint="default" w:ascii="Symbol" w:hAnsi="Symbol" w:eastAsia="Symbol" w:cs="Symbol"/>
                <w:color w:val="auto"/>
                <w:spacing w:val="-35"/>
                <w:w w:val="105"/>
                <w:sz w:val="30"/>
                <w:szCs w:val="30"/>
              </w:rPr>
              <w:t></w:t>
            </w:r>
            <w:r>
              <w:rPr>
                <w:rFonts w:hint="default" w:eastAsia="Times New Roman"/>
                <w:i/>
                <w:color w:val="auto"/>
                <w:w w:val="105"/>
                <w:sz w:val="30"/>
                <w:szCs w:val="30"/>
              </w:rPr>
              <w:t>M</w:t>
            </w:r>
          </w:p>
          <w:p w14:paraId="33846610">
            <w:pPr>
              <w:pStyle w:val="54"/>
              <w:keepNext w:val="0"/>
              <w:keepLines w:val="0"/>
              <w:suppressLineNumbers w:val="0"/>
              <w:spacing w:before="186"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式中：Q—扬尘量，kg/h；</w:t>
            </w:r>
          </w:p>
          <w:p w14:paraId="7441B880">
            <w:pPr>
              <w:pStyle w:val="54"/>
              <w:keepNext w:val="0"/>
              <w:keepLines w:val="0"/>
              <w:suppressLineNumbers w:val="0"/>
              <w:spacing w:before="186"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H—物料装卸高度，m（取 2.0m）；</w:t>
            </w:r>
          </w:p>
          <w:p w14:paraId="2B0CA4D4">
            <w:pPr>
              <w:pStyle w:val="54"/>
              <w:keepNext w:val="0"/>
              <w:keepLines w:val="0"/>
              <w:suppressLineNumbers w:val="0"/>
              <w:spacing w:before="186"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 xml:space="preserve">U—风速，m/s，取近五年湛江市平均风速为1.5m/s； </w:t>
            </w:r>
          </w:p>
          <w:p w14:paraId="33F81F12">
            <w:pPr>
              <w:pStyle w:val="54"/>
              <w:keepNext w:val="0"/>
              <w:keepLines w:val="0"/>
              <w:suppressLineNumbers w:val="0"/>
              <w:spacing w:before="186"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W—湿度，%；本项目取5；</w:t>
            </w:r>
          </w:p>
          <w:p w14:paraId="119EA595">
            <w:pPr>
              <w:pStyle w:val="54"/>
              <w:keepNext w:val="0"/>
              <w:keepLines w:val="0"/>
              <w:suppressLineNumbers w:val="0"/>
              <w:spacing w:before="186"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M—装量，t/h（项目堆场年消耗的</w:t>
            </w:r>
            <w:r>
              <w:rPr>
                <w:rFonts w:hint="eastAsia" w:ascii="Times New Roman" w:hAnsi="Times New Roman" w:cs="Times New Roman"/>
                <w:color w:val="auto"/>
                <w:kern w:val="0"/>
                <w:sz w:val="24"/>
                <w:szCs w:val="20"/>
                <w:lang w:val="en-US" w:eastAsia="zh-CN" w:bidi="ar"/>
              </w:rPr>
              <w:t>建筑垃圾</w:t>
            </w:r>
            <w:r>
              <w:rPr>
                <w:rFonts w:hint="default" w:ascii="Times New Roman" w:hAnsi="Times New Roman" w:cs="Times New Roman" w:eastAsiaTheme="minorEastAsia"/>
                <w:color w:val="auto"/>
                <w:kern w:val="0"/>
                <w:sz w:val="24"/>
                <w:szCs w:val="20"/>
                <w:lang w:val="en-US" w:eastAsia="zh-CN" w:bidi="ar"/>
              </w:rPr>
              <w:t>原料12万吨，则项目装卸量为</w:t>
            </w:r>
            <w:r>
              <w:rPr>
                <w:rFonts w:hint="eastAsia" w:ascii="Times New Roman" w:hAnsi="Times New Roman" w:cs="Times New Roman"/>
                <w:color w:val="auto"/>
                <w:kern w:val="0"/>
                <w:sz w:val="24"/>
                <w:szCs w:val="20"/>
                <w:lang w:val="en-US" w:eastAsia="zh-CN" w:bidi="ar"/>
              </w:rPr>
              <w:t>42</w:t>
            </w:r>
            <w:r>
              <w:rPr>
                <w:rFonts w:hint="default" w:ascii="Times New Roman" w:hAnsi="Times New Roman" w:cs="Times New Roman" w:eastAsiaTheme="minorEastAsia"/>
                <w:color w:val="auto"/>
                <w:kern w:val="0"/>
                <w:sz w:val="24"/>
                <w:szCs w:val="20"/>
                <w:lang w:val="en-US" w:eastAsia="zh-CN" w:bidi="ar"/>
              </w:rPr>
              <w:t xml:space="preserve"> t/h。） </w:t>
            </w:r>
          </w:p>
          <w:p w14:paraId="4691FB3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经计算，项目原料卸料扬尘产生量约为</w:t>
            </w:r>
            <w:r>
              <w:rPr>
                <w:rFonts w:hint="eastAsia" w:ascii="Times New Roman" w:hAnsi="Times New Roman" w:cs="Times New Roman"/>
                <w:color w:val="auto"/>
                <w:kern w:val="0"/>
                <w:sz w:val="24"/>
                <w:szCs w:val="20"/>
                <w:lang w:val="en-US" w:eastAsia="zh-CN" w:bidi="ar"/>
              </w:rPr>
              <w:t>1.57</w:t>
            </w:r>
            <w:r>
              <w:rPr>
                <w:rFonts w:hint="default" w:ascii="Times New Roman" w:hAnsi="Times New Roman" w:cs="Times New Roman" w:eastAsiaTheme="minorEastAsia"/>
                <w:color w:val="auto"/>
                <w:kern w:val="0"/>
                <w:sz w:val="24"/>
                <w:szCs w:val="20"/>
                <w:lang w:val="en-US" w:eastAsia="zh-CN" w:bidi="ar"/>
              </w:rPr>
              <w:t>kg/h，车辆日运输时长取8h，则项目原料装卸时起尘量为</w:t>
            </w:r>
            <w:r>
              <w:rPr>
                <w:rFonts w:hint="eastAsia" w:ascii="Times New Roman" w:hAnsi="Times New Roman" w:cs="Times New Roman"/>
                <w:color w:val="auto"/>
                <w:kern w:val="0"/>
                <w:sz w:val="24"/>
                <w:szCs w:val="20"/>
                <w:lang w:val="en-US" w:eastAsia="zh-CN" w:bidi="ar"/>
              </w:rPr>
              <w:t>4.5216</w:t>
            </w:r>
            <w:r>
              <w:rPr>
                <w:rFonts w:hint="default" w:ascii="Times New Roman" w:hAnsi="Times New Roman" w:cs="Times New Roman" w:eastAsiaTheme="minorEastAsia"/>
                <w:color w:val="auto"/>
                <w:kern w:val="0"/>
                <w:sz w:val="24"/>
                <w:szCs w:val="20"/>
                <w:lang w:val="en-US" w:eastAsia="zh-CN" w:bidi="ar"/>
              </w:rPr>
              <w:t>t/a。</w:t>
            </w:r>
          </w:p>
          <w:p w14:paraId="143E2790">
            <w:pPr>
              <w:keepNext w:val="0"/>
              <w:keepLines w:val="0"/>
              <w:numPr>
                <w:ilvl w:val="0"/>
                <w:numId w:val="0"/>
              </w:numPr>
              <w:suppressLineNumbers w:val="0"/>
              <w:spacing w:before="0" w:beforeAutospacing="0" w:after="0" w:afterAutospacing="0" w:line="360" w:lineRule="auto"/>
              <w:ind w:left="0" w:right="0" w:rightChars="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w:t>
            </w:r>
            <w:r>
              <w:rPr>
                <w:rFonts w:hint="eastAsia" w:ascii="Times New Roman" w:hAnsi="Times New Roman" w:cs="Times New Roman"/>
                <w:color w:val="auto"/>
                <w:kern w:val="0"/>
                <w:sz w:val="24"/>
                <w:szCs w:val="20"/>
                <w:lang w:val="en-US" w:eastAsia="zh-CN" w:bidi="ar"/>
              </w:rPr>
              <w:t>2</w:t>
            </w:r>
            <w:r>
              <w:rPr>
                <w:rFonts w:hint="default" w:ascii="Times New Roman" w:hAnsi="Times New Roman" w:cs="Times New Roman" w:eastAsiaTheme="minorEastAsia"/>
                <w:color w:val="auto"/>
                <w:kern w:val="0"/>
                <w:sz w:val="24"/>
                <w:szCs w:val="20"/>
                <w:lang w:val="en-US" w:eastAsia="zh-CN" w:bidi="ar"/>
              </w:rPr>
              <w:t>）物料的堆场扬尘</w:t>
            </w:r>
          </w:p>
          <w:p w14:paraId="75514B8E">
            <w:pPr>
              <w:pStyle w:val="22"/>
              <w:keepNext w:val="0"/>
              <w:keepLines w:val="0"/>
              <w:suppressLineNumbers w:val="0"/>
              <w:spacing w:beforeAutospacing="0" w:afterAutospacing="0" w:line="357" w:lineRule="auto"/>
              <w:ind w:left="0" w:right="216" w:firstLine="48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项目原料及成品堆场过程中由于风动原因会产生扬尘，沙场中的沙粒要达到一定的风速才会起尘，这种临界风速称为起动风速，主要和颗粒物直径、物料含水率有关系，项目堆场扬尘主要为原料堆场产生的扬尘，项目原料堆放场起尘量参考日本三菱重工业公司长崎研究所煤尘污染起尘量的计算公式，公式如下：</w:t>
            </w:r>
          </w:p>
          <w:p w14:paraId="6FECFD91">
            <w:pPr>
              <w:keepNext w:val="0"/>
              <w:keepLines w:val="0"/>
              <w:suppressLineNumbers w:val="0"/>
              <w:spacing w:before="0" w:beforeAutospacing="0" w:after="0" w:afterAutospacing="0" w:line="360" w:lineRule="auto"/>
              <w:ind w:left="0" w:right="0"/>
              <w:jc w:val="center"/>
              <w:rPr>
                <w:rFonts w:hint="default" w:cs="Times New Roman" w:asciiTheme="minorHAnsi" w:hAnsiTheme="minorHAnsi" w:eastAsiaTheme="minorEastAsia"/>
                <w:color w:val="auto"/>
                <w:kern w:val="0"/>
                <w:sz w:val="24"/>
                <w:szCs w:val="20"/>
                <w:lang w:val="en-US" w:eastAsia="zh-CN" w:bidi="ar"/>
              </w:rPr>
            </w:pPr>
            <w:r>
              <w:rPr>
                <w:rFonts w:hint="default" w:cs="Times New Roman" w:asciiTheme="minorHAnsi" w:hAnsiTheme="minorHAnsi" w:eastAsiaTheme="minorEastAsia"/>
                <w:color w:val="auto"/>
                <w:kern w:val="0"/>
                <w:sz w:val="24"/>
                <w:szCs w:val="20"/>
                <w:lang w:val="en-US" w:eastAsia="zh-CN" w:bidi="ar"/>
              </w:rPr>
              <w:drawing>
                <wp:inline distT="0" distB="0" distL="114300" distR="114300">
                  <wp:extent cx="1507490" cy="590550"/>
                  <wp:effectExtent l="0" t="0" r="16510" b="0"/>
                  <wp:docPr id="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
                          <pic:cNvPicPr>
                            <a:picLocks noChangeAspect="1"/>
                          </pic:cNvPicPr>
                        </pic:nvPicPr>
                        <pic:blipFill>
                          <a:blip r:embed="rId17"/>
                          <a:stretch>
                            <a:fillRect/>
                          </a:stretch>
                        </pic:blipFill>
                        <pic:spPr>
                          <a:xfrm>
                            <a:off x="0" y="0"/>
                            <a:ext cx="1507490" cy="590550"/>
                          </a:xfrm>
                          <a:prstGeom prst="rect">
                            <a:avLst/>
                          </a:prstGeom>
                          <a:noFill/>
                          <a:ln>
                            <a:noFill/>
                          </a:ln>
                        </pic:spPr>
                      </pic:pic>
                    </a:graphicData>
                  </a:graphic>
                </wp:inline>
              </w:drawing>
            </w:r>
          </w:p>
          <w:p w14:paraId="78168306">
            <w:pPr>
              <w:pStyle w:val="22"/>
              <w:keepNext w:val="0"/>
              <w:keepLines w:val="0"/>
              <w:suppressLineNumbers w:val="0"/>
              <w:spacing w:before="99" w:beforeAutospacing="0" w:afterAutospacing="0"/>
              <w:ind w:left="700" w:right="4467"/>
              <w:jc w:val="left"/>
              <w:rPr>
                <w:rFonts w:hint="default" w:ascii="Times New Roman" w:hAnsi="Times New Roman" w:cs="Times New Roman" w:eastAsiaTheme="minorEastAsia"/>
                <w:color w:val="auto"/>
                <w:kern w:val="0"/>
                <w:sz w:val="24"/>
                <w:szCs w:val="20"/>
                <w:lang w:val="en-US" w:eastAsia="zh-CN" w:bidi="ar"/>
              </w:rPr>
            </w:pPr>
            <w:r>
              <w:rPr>
                <w:rFonts w:hint="default" w:cs="Times New Roman" w:asciiTheme="minorHAnsi" w:hAnsiTheme="minorHAnsi" w:eastAsiaTheme="minorEastAsia"/>
                <w:color w:val="auto"/>
                <w:kern w:val="0"/>
                <w:sz w:val="24"/>
                <w:szCs w:val="20"/>
                <w:lang w:val="en-US" w:eastAsia="zh-CN" w:bidi="ar"/>
              </w:rPr>
              <w:t>式中：</w:t>
            </w:r>
            <w:r>
              <w:rPr>
                <w:rFonts w:hint="default" w:ascii="Times New Roman" w:hAnsi="Times New Roman" w:cs="Times New Roman" w:eastAsiaTheme="minorEastAsia"/>
                <w:color w:val="auto"/>
                <w:kern w:val="0"/>
                <w:sz w:val="24"/>
                <w:szCs w:val="20"/>
                <w:lang w:val="en-US" w:eastAsia="zh-CN" w:bidi="ar"/>
              </w:rPr>
              <w:t>Qp—起尘量，mg/s；</w:t>
            </w:r>
          </w:p>
          <w:p w14:paraId="35A1FBF9">
            <w:pPr>
              <w:pStyle w:val="22"/>
              <w:keepNext w:val="0"/>
              <w:keepLines w:val="0"/>
              <w:suppressLineNumbers w:val="0"/>
              <w:spacing w:before="133" w:beforeAutospacing="0" w:afterAutospacing="0"/>
              <w:ind w:left="1420" w:firstLine="4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 xml:space="preserve">w —物料的含水率，取 </w:t>
            </w:r>
            <w:r>
              <w:rPr>
                <w:rFonts w:hint="eastAsia" w:ascii="Times New Roman" w:hAnsi="Times New Roman" w:cs="Times New Roman"/>
                <w:color w:val="auto"/>
                <w:kern w:val="0"/>
                <w:sz w:val="24"/>
                <w:szCs w:val="20"/>
                <w:lang w:val="en-US" w:eastAsia="zh-CN" w:bidi="ar"/>
              </w:rPr>
              <w:t>5</w:t>
            </w:r>
            <w:r>
              <w:rPr>
                <w:rFonts w:hint="default" w:ascii="Times New Roman" w:hAnsi="Times New Roman" w:cs="Times New Roman" w:eastAsiaTheme="minorEastAsia"/>
                <w:color w:val="auto"/>
                <w:kern w:val="0"/>
                <w:sz w:val="24"/>
                <w:szCs w:val="20"/>
                <w:lang w:val="en-US" w:eastAsia="zh-CN" w:bidi="ar"/>
              </w:rPr>
              <w:t>%，即 W=</w:t>
            </w:r>
            <w:r>
              <w:rPr>
                <w:rFonts w:hint="eastAsia" w:ascii="Times New Roman" w:hAnsi="Times New Roman" w:cs="Times New Roman"/>
                <w:color w:val="auto"/>
                <w:kern w:val="0"/>
                <w:sz w:val="24"/>
                <w:szCs w:val="20"/>
                <w:lang w:val="en-US" w:eastAsia="zh-CN" w:bidi="ar"/>
              </w:rPr>
              <w:t>5</w:t>
            </w:r>
            <w:r>
              <w:rPr>
                <w:rFonts w:hint="default" w:ascii="Times New Roman" w:hAnsi="Times New Roman" w:cs="Times New Roman" w:eastAsiaTheme="minorEastAsia"/>
                <w:color w:val="auto"/>
                <w:kern w:val="0"/>
                <w:sz w:val="24"/>
                <w:szCs w:val="20"/>
                <w:lang w:val="en-US" w:eastAsia="zh-CN" w:bidi="ar"/>
              </w:rPr>
              <w:t>；</w:t>
            </w:r>
          </w:p>
          <w:p w14:paraId="2A5878B4">
            <w:pPr>
              <w:pStyle w:val="22"/>
              <w:keepNext w:val="0"/>
              <w:keepLines w:val="0"/>
              <w:suppressLineNumbers w:val="0"/>
              <w:spacing w:before="133" w:beforeAutospacing="0" w:afterAutospacing="0"/>
              <w:ind w:left="1420" w:firstLine="4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U—平均风速，m/s，取1.5m/s。</w:t>
            </w:r>
          </w:p>
          <w:p w14:paraId="4FA56078">
            <w:pPr>
              <w:pStyle w:val="22"/>
              <w:keepNext w:val="0"/>
              <w:keepLines w:val="0"/>
              <w:suppressLineNumbers w:val="0"/>
              <w:spacing w:before="133" w:beforeAutospacing="0" w:afterAutospacing="0"/>
              <w:ind w:left="1420" w:firstLine="4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Ap—起尘面积，m</w:t>
            </w:r>
            <w:r>
              <w:rPr>
                <w:rFonts w:hint="default" w:ascii="Times New Roman" w:hAnsi="Times New Roman" w:cs="Times New Roman" w:eastAsiaTheme="minorEastAsia"/>
                <w:color w:val="auto"/>
                <w:kern w:val="0"/>
                <w:sz w:val="24"/>
                <w:szCs w:val="20"/>
                <w:vertAlign w:val="superscript"/>
                <w:lang w:val="en-US" w:eastAsia="zh-CN" w:bidi="ar"/>
              </w:rPr>
              <w:t>2</w:t>
            </w:r>
            <w:r>
              <w:rPr>
                <w:rFonts w:hint="default" w:ascii="Times New Roman" w:hAnsi="Times New Roman" w:cs="Times New Roman" w:eastAsiaTheme="minorEastAsia"/>
                <w:color w:val="auto"/>
                <w:kern w:val="0"/>
                <w:sz w:val="24"/>
                <w:szCs w:val="20"/>
                <w:lang w:val="en-US" w:eastAsia="zh-CN" w:bidi="ar"/>
              </w:rPr>
              <w:t>；项目堆场区面积约</w:t>
            </w:r>
            <w:r>
              <w:rPr>
                <w:rFonts w:hint="eastAsia" w:ascii="Times New Roman" w:hAnsi="Times New Roman" w:cs="Times New Roman"/>
                <w:color w:val="auto"/>
                <w:kern w:val="0"/>
                <w:sz w:val="24"/>
                <w:szCs w:val="20"/>
                <w:lang w:val="en-US" w:eastAsia="zh-CN" w:bidi="ar"/>
              </w:rPr>
              <w:t>7</w:t>
            </w:r>
            <w:r>
              <w:rPr>
                <w:rFonts w:hint="default" w:ascii="Times New Roman" w:hAnsi="Times New Roman" w:cs="Times New Roman" w:eastAsiaTheme="minorEastAsia"/>
                <w:color w:val="auto"/>
                <w:kern w:val="0"/>
                <w:sz w:val="24"/>
                <w:szCs w:val="20"/>
                <w:lang w:val="en-US" w:eastAsia="zh-CN" w:bidi="ar"/>
              </w:rPr>
              <w:t>000m</w:t>
            </w:r>
            <w:r>
              <w:rPr>
                <w:rFonts w:hint="default" w:ascii="Times New Roman" w:hAnsi="Times New Roman" w:cs="Times New Roman" w:eastAsiaTheme="minorEastAsia"/>
                <w:color w:val="auto"/>
                <w:kern w:val="0"/>
                <w:sz w:val="24"/>
                <w:szCs w:val="20"/>
                <w:vertAlign w:val="superscript"/>
                <w:lang w:val="en-US" w:eastAsia="zh-CN" w:bidi="ar"/>
              </w:rPr>
              <w:t>2</w:t>
            </w:r>
            <w:r>
              <w:rPr>
                <w:rFonts w:hint="default" w:ascii="Times New Roman" w:hAnsi="Times New Roman" w:cs="Times New Roman" w:eastAsiaTheme="minorEastAsia"/>
                <w:color w:val="auto"/>
                <w:kern w:val="0"/>
                <w:sz w:val="24"/>
                <w:szCs w:val="20"/>
                <w:lang w:val="en-US" w:eastAsia="zh-CN" w:bidi="ar"/>
              </w:rPr>
              <w:t>；</w:t>
            </w:r>
          </w:p>
          <w:p w14:paraId="4256F496">
            <w:pPr>
              <w:pStyle w:val="22"/>
              <w:keepNext w:val="0"/>
              <w:keepLines w:val="0"/>
              <w:suppressLineNumbers w:val="0"/>
              <w:spacing w:before="133" w:beforeAutospacing="0" w:afterAutospacing="0"/>
              <w:ind w:left="1420" w:firstLine="40"/>
              <w:jc w:val="left"/>
              <w:rPr>
                <w:rFonts w:hint="default" w:ascii="Times New Roman" w:hAnsi="Times New Roman" w:cs="Times New Roman" w:eastAsiaTheme="minorEastAsia"/>
                <w:color w:val="auto"/>
                <w:kern w:val="0"/>
                <w:sz w:val="24"/>
                <w:szCs w:val="20"/>
                <w:lang w:val="en-US" w:eastAsia="zh-CN" w:bidi="ar"/>
              </w:rPr>
            </w:pPr>
            <w:r>
              <w:rPr>
                <w:rFonts w:hint="default" w:ascii="Symbol" w:hAnsi="Symbol" w:eastAsia="Symbol" w:cs="Symbol"/>
                <w:i/>
                <w:color w:val="auto"/>
                <w:sz w:val="24"/>
              </w:rPr>
              <w:t></w:t>
            </w:r>
            <w:r>
              <w:rPr>
                <w:rFonts w:hint="default" w:ascii="Times New Roman" w:hAnsi="Times New Roman" w:cs="Times New Roman" w:eastAsiaTheme="minorEastAsia"/>
                <w:color w:val="auto"/>
                <w:kern w:val="0"/>
                <w:sz w:val="24"/>
                <w:szCs w:val="20"/>
                <w:lang w:val="en-US" w:eastAsia="zh-CN" w:bidi="ar"/>
              </w:rPr>
              <w:t>-经验系数，8.0×10</w:t>
            </w:r>
            <w:r>
              <w:rPr>
                <w:rFonts w:hint="default" w:ascii="Times New Roman" w:hAnsi="Times New Roman" w:cs="Times New Roman" w:eastAsiaTheme="minorEastAsia"/>
                <w:color w:val="auto"/>
                <w:kern w:val="0"/>
                <w:sz w:val="24"/>
                <w:szCs w:val="20"/>
                <w:vertAlign w:val="superscript"/>
                <w:lang w:val="en-US" w:eastAsia="zh-CN" w:bidi="ar"/>
              </w:rPr>
              <w:t>-3</w:t>
            </w:r>
            <w:r>
              <w:rPr>
                <w:rFonts w:hint="default" w:ascii="Times New Roman" w:hAnsi="Times New Roman" w:cs="Times New Roman" w:eastAsiaTheme="minorEastAsia"/>
                <w:color w:val="auto"/>
                <w:kern w:val="0"/>
                <w:sz w:val="24"/>
                <w:szCs w:val="20"/>
                <w:lang w:val="en-US" w:eastAsia="zh-CN" w:bidi="ar"/>
              </w:rPr>
              <w:t>。</w:t>
            </w:r>
          </w:p>
          <w:p w14:paraId="31C2215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据计算可得项目原料堆放场起尘量为</w:t>
            </w:r>
            <w:r>
              <w:rPr>
                <w:rFonts w:hint="eastAsia" w:ascii="Times New Roman" w:hAnsi="Times New Roman" w:cs="Times New Roman"/>
                <w:color w:val="auto"/>
                <w:kern w:val="0"/>
                <w:sz w:val="24"/>
                <w:szCs w:val="20"/>
                <w:lang w:val="en-US" w:eastAsia="zh-CN" w:bidi="ar"/>
              </w:rPr>
              <w:t>111.48</w:t>
            </w:r>
            <w:r>
              <w:rPr>
                <w:rFonts w:hint="default" w:ascii="Times New Roman" w:hAnsi="Times New Roman" w:cs="Times New Roman" w:eastAsiaTheme="minorEastAsia"/>
                <w:color w:val="auto"/>
                <w:kern w:val="0"/>
                <w:sz w:val="24"/>
                <w:szCs w:val="20"/>
                <w:lang w:val="en-US" w:eastAsia="zh-CN" w:bidi="ar"/>
              </w:rPr>
              <w:t>mg/s，即</w:t>
            </w:r>
            <w:r>
              <w:rPr>
                <w:rFonts w:hint="eastAsia" w:ascii="Times New Roman" w:hAnsi="Times New Roman" w:cs="Times New Roman"/>
                <w:color w:val="auto"/>
                <w:kern w:val="0"/>
                <w:sz w:val="24"/>
                <w:szCs w:val="20"/>
                <w:lang w:val="en-US" w:eastAsia="zh-CN" w:bidi="ar"/>
              </w:rPr>
              <w:t>0.702</w:t>
            </w:r>
            <w:r>
              <w:rPr>
                <w:rFonts w:hint="default" w:ascii="Times New Roman" w:hAnsi="Times New Roman" w:cs="Times New Roman" w:eastAsiaTheme="minorEastAsia"/>
                <w:color w:val="auto"/>
                <w:kern w:val="0"/>
                <w:sz w:val="24"/>
                <w:szCs w:val="20"/>
                <w:lang w:val="en-US" w:eastAsia="zh-CN" w:bidi="ar"/>
              </w:rPr>
              <w:t>kg/h，产生量为</w:t>
            </w:r>
            <w:r>
              <w:rPr>
                <w:rFonts w:hint="eastAsia" w:ascii="Times New Roman" w:hAnsi="Times New Roman" w:cs="Times New Roman"/>
                <w:color w:val="auto"/>
                <w:kern w:val="0"/>
                <w:sz w:val="24"/>
                <w:szCs w:val="20"/>
                <w:lang w:val="en-US" w:eastAsia="zh-CN" w:bidi="ar"/>
              </w:rPr>
              <w:t>6.065</w:t>
            </w:r>
            <w:r>
              <w:rPr>
                <w:rFonts w:hint="default" w:ascii="Times New Roman" w:hAnsi="Times New Roman" w:cs="Times New Roman" w:eastAsiaTheme="minorEastAsia"/>
                <w:color w:val="auto"/>
                <w:kern w:val="0"/>
                <w:sz w:val="24"/>
                <w:szCs w:val="20"/>
                <w:lang w:val="en-US" w:eastAsia="zh-CN" w:bidi="ar"/>
              </w:rPr>
              <w:t>t/a（按 24h/d、3</w:t>
            </w:r>
            <w:r>
              <w:rPr>
                <w:rFonts w:hint="eastAsia" w:ascii="Times New Roman" w:hAnsi="Times New Roman" w:cs="Times New Roman"/>
                <w:color w:val="auto"/>
                <w:kern w:val="0"/>
                <w:sz w:val="24"/>
                <w:szCs w:val="20"/>
                <w:lang w:val="en-US" w:eastAsia="zh-CN" w:bidi="ar"/>
              </w:rPr>
              <w:t>6</w:t>
            </w:r>
            <w:r>
              <w:rPr>
                <w:rFonts w:hint="default" w:ascii="Times New Roman" w:hAnsi="Times New Roman" w:cs="Times New Roman" w:eastAsiaTheme="minorEastAsia"/>
                <w:color w:val="auto"/>
                <w:kern w:val="0"/>
                <w:sz w:val="24"/>
                <w:szCs w:val="20"/>
                <w:lang w:val="en-US" w:eastAsia="zh-CN" w:bidi="ar"/>
              </w:rPr>
              <w:t>0d/a计）。</w:t>
            </w:r>
            <w:r>
              <w:rPr>
                <w:rFonts w:hint="default" w:ascii="Times New Roman" w:hAnsi="Times New Roman" w:cs="Times New Roman"/>
                <w:color w:val="auto"/>
                <w:kern w:val="0"/>
                <w:sz w:val="24"/>
                <w:szCs w:val="20"/>
                <w:lang w:val="en-US" w:eastAsia="zh-CN" w:bidi="ar"/>
              </w:rPr>
              <w:t>本项目</w:t>
            </w:r>
            <w:r>
              <w:rPr>
                <w:rFonts w:hint="eastAsia" w:ascii="Times New Roman" w:hAnsi="Times New Roman" w:cs="Times New Roman"/>
                <w:color w:val="auto"/>
                <w:kern w:val="0"/>
                <w:sz w:val="24"/>
                <w:szCs w:val="20"/>
                <w:lang w:val="en-US" w:eastAsia="zh-CN" w:bidi="ar"/>
              </w:rPr>
              <w:t>露天堆场，露天堆料区域雨天会使用防水布进行覆盖。</w:t>
            </w:r>
            <w:r>
              <w:rPr>
                <w:rFonts w:hint="default" w:ascii="Times New Roman" w:hAnsi="Times New Roman" w:cs="Times New Roman"/>
                <w:color w:val="auto"/>
                <w:kern w:val="0"/>
                <w:sz w:val="24"/>
                <w:szCs w:val="20"/>
                <w:lang w:val="en-US" w:eastAsia="zh-CN" w:bidi="ar"/>
              </w:rPr>
              <w:t>采取</w:t>
            </w:r>
            <w:r>
              <w:rPr>
                <w:rFonts w:hint="default" w:ascii="Times New Roman" w:hAnsi="Times New Roman" w:cs="Times New Roman" w:eastAsiaTheme="minorEastAsia"/>
                <w:color w:val="auto"/>
                <w:kern w:val="0"/>
                <w:sz w:val="24"/>
                <w:szCs w:val="20"/>
                <w:lang w:val="en-US" w:eastAsia="zh-CN" w:bidi="ar"/>
              </w:rPr>
              <w:t>清洗</w:t>
            </w:r>
            <w:r>
              <w:rPr>
                <w:rFonts w:hint="default" w:ascii="Times New Roman" w:hAnsi="Times New Roman" w:cs="Times New Roman"/>
                <w:color w:val="auto"/>
                <w:kern w:val="0"/>
                <w:sz w:val="24"/>
                <w:szCs w:val="20"/>
                <w:lang w:val="en-US" w:eastAsia="zh-CN" w:bidi="ar"/>
              </w:rPr>
              <w:t>进出</w:t>
            </w:r>
            <w:r>
              <w:rPr>
                <w:rFonts w:hint="default" w:ascii="Times New Roman" w:hAnsi="Times New Roman" w:cs="Times New Roman" w:eastAsiaTheme="minorEastAsia"/>
                <w:color w:val="auto"/>
                <w:kern w:val="0"/>
                <w:sz w:val="24"/>
                <w:szCs w:val="20"/>
                <w:lang w:val="en-US" w:eastAsia="zh-CN" w:bidi="ar"/>
              </w:rPr>
              <w:t>车辆，厂区内洒水等措施</w:t>
            </w:r>
            <w:r>
              <w:rPr>
                <w:rFonts w:hint="default" w:ascii="Times New Roman" w:hAnsi="Times New Roman" w:cs="Times New Roman"/>
                <w:color w:val="auto"/>
                <w:kern w:val="0"/>
                <w:sz w:val="24"/>
                <w:szCs w:val="20"/>
                <w:lang w:val="en-US" w:eastAsia="zh-CN" w:bidi="ar"/>
              </w:rPr>
              <w:t>，根据《排放源统计调查产排污核算方法和系数手册》附表2《固体物料堆存颗粒物产排污核算系数手册》：附录4中洒水措施对粉尘的控制效率为74%</w:t>
            </w:r>
            <w:r>
              <w:rPr>
                <w:rFonts w:hint="default" w:ascii="Times New Roman" w:hAnsi="Times New Roman" w:cs="Times New Roman" w:eastAsiaTheme="minorEastAsia"/>
                <w:color w:val="auto"/>
                <w:kern w:val="0"/>
                <w:sz w:val="24"/>
                <w:szCs w:val="20"/>
                <w:lang w:val="en-US" w:eastAsia="zh-CN" w:bidi="ar"/>
              </w:rPr>
              <w:t xml:space="preserve">，采取措施后堆场排放扬尘量为 </w:t>
            </w:r>
            <w:r>
              <w:rPr>
                <w:rFonts w:hint="eastAsia" w:ascii="Times New Roman" w:hAnsi="Times New Roman" w:cs="Times New Roman"/>
                <w:color w:val="auto"/>
                <w:kern w:val="0"/>
                <w:sz w:val="24"/>
                <w:szCs w:val="20"/>
                <w:lang w:val="en-US" w:eastAsia="zh-CN" w:bidi="ar"/>
              </w:rPr>
              <w:t>0.183</w:t>
            </w:r>
            <w:r>
              <w:rPr>
                <w:rFonts w:hint="default" w:ascii="Times New Roman" w:hAnsi="Times New Roman" w:cs="Times New Roman" w:eastAsiaTheme="minorEastAsia"/>
                <w:color w:val="auto"/>
                <w:kern w:val="0"/>
                <w:sz w:val="24"/>
                <w:szCs w:val="20"/>
                <w:lang w:val="en-US" w:eastAsia="zh-CN" w:bidi="ar"/>
              </w:rPr>
              <w:t>kg/h，</w:t>
            </w:r>
            <w:r>
              <w:rPr>
                <w:rFonts w:hint="eastAsia" w:ascii="Times New Roman" w:hAnsi="Times New Roman" w:cs="Times New Roman"/>
                <w:color w:val="auto"/>
                <w:kern w:val="0"/>
                <w:sz w:val="24"/>
                <w:szCs w:val="20"/>
                <w:lang w:val="en-US" w:eastAsia="zh-CN" w:bidi="ar"/>
              </w:rPr>
              <w:t>1.577</w:t>
            </w:r>
            <w:r>
              <w:rPr>
                <w:rFonts w:hint="default" w:ascii="Times New Roman" w:hAnsi="Times New Roman" w:cs="Times New Roman" w:eastAsiaTheme="minorEastAsia"/>
                <w:color w:val="auto"/>
                <w:kern w:val="0"/>
                <w:sz w:val="24"/>
                <w:szCs w:val="20"/>
                <w:lang w:val="en-US" w:eastAsia="zh-CN" w:bidi="ar"/>
              </w:rPr>
              <w:t>t/a。</w:t>
            </w:r>
            <w:r>
              <w:rPr>
                <w:rFonts w:hint="default" w:ascii="Times New Roman" w:hAnsi="Times New Roman" w:cs="Times New Roman"/>
                <w:color w:val="auto"/>
                <w:kern w:val="0"/>
                <w:sz w:val="24"/>
                <w:szCs w:val="20"/>
                <w:lang w:val="en-US" w:eastAsia="zh-CN" w:bidi="ar"/>
              </w:rPr>
              <w:t>堆料</w:t>
            </w:r>
            <w:r>
              <w:rPr>
                <w:rFonts w:hint="default" w:ascii="Times New Roman" w:hAnsi="Times New Roman" w:cs="Times New Roman" w:eastAsiaTheme="minorEastAsia"/>
                <w:color w:val="auto"/>
                <w:kern w:val="0"/>
                <w:sz w:val="24"/>
                <w:szCs w:val="20"/>
                <w:lang w:val="en-US" w:eastAsia="zh-CN" w:bidi="ar"/>
              </w:rPr>
              <w:t>粉尘经相应措施处理后产生量较少，在厂区内无组织排放。</w:t>
            </w:r>
          </w:p>
          <w:p w14:paraId="64B61F16">
            <w:pPr>
              <w:pStyle w:val="42"/>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根据《排污单位自行监测技术指南 总则（HJ819-2017）》，本项目在生产运行阶段需对污染源进行管理监测，自行监测计划如下表所示。</w:t>
            </w:r>
          </w:p>
          <w:p w14:paraId="1B5658D0">
            <w:pPr>
              <w:pStyle w:val="14"/>
              <w:keepNext w:val="0"/>
              <w:keepLines w:val="0"/>
              <w:suppressLineNumbers w:val="0"/>
              <w:spacing w:before="0" w:beforeAutospacing="0" w:after="0" w:afterAutospacing="0"/>
              <w:ind w:left="422" w:right="0" w:hanging="422"/>
              <w:jc w:val="center"/>
              <w:rPr>
                <w:rFonts w:hint="default" w:ascii="Times New Roman" w:hAnsi="Times New Roman" w:cs="Times New Roman" w:eastAsiaTheme="minorEastAsia"/>
                <w:b/>
                <w:bCs/>
                <w:color w:val="auto"/>
                <w:kern w:val="0"/>
                <w:sz w:val="21"/>
                <w:szCs w:val="21"/>
                <w:lang w:val="en-US" w:eastAsia="zh-CN" w:bidi="ar"/>
              </w:rPr>
            </w:pPr>
            <w:r>
              <w:rPr>
                <w:rFonts w:hint="default" w:ascii="Times New Roman" w:hAnsi="Times New Roman" w:cs="Times New Roman" w:eastAsiaTheme="minorEastAsia"/>
                <w:b/>
                <w:bCs/>
                <w:color w:val="auto"/>
                <w:kern w:val="0"/>
                <w:sz w:val="21"/>
                <w:szCs w:val="21"/>
                <w:lang w:val="en-US" w:eastAsia="zh-CN" w:bidi="ar"/>
              </w:rPr>
              <w:t>表4-4 项目运营期无组织颗粒物监测计划一览表</w:t>
            </w:r>
          </w:p>
          <w:tbl>
            <w:tblPr>
              <w:tblStyle w:val="35"/>
              <w:tblW w:w="79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589"/>
              <w:gridCol w:w="977"/>
              <w:gridCol w:w="2183"/>
              <w:gridCol w:w="1230"/>
              <w:gridCol w:w="2979"/>
            </w:tblGrid>
            <w:tr w14:paraId="6C3F792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89" w:type="dxa"/>
                  <w:vAlign w:val="center"/>
                </w:tcPr>
                <w:p w14:paraId="64B9461A">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序号</w:t>
                  </w:r>
                </w:p>
              </w:tc>
              <w:tc>
                <w:tcPr>
                  <w:tcW w:w="977" w:type="dxa"/>
                  <w:vAlign w:val="center"/>
                </w:tcPr>
                <w:p w14:paraId="17398837">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监测点位</w:t>
                  </w:r>
                </w:p>
              </w:tc>
              <w:tc>
                <w:tcPr>
                  <w:tcW w:w="2183" w:type="dxa"/>
                  <w:vAlign w:val="center"/>
                </w:tcPr>
                <w:p w14:paraId="0037E505">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监测项目</w:t>
                  </w:r>
                </w:p>
              </w:tc>
              <w:tc>
                <w:tcPr>
                  <w:tcW w:w="1230" w:type="dxa"/>
                  <w:vAlign w:val="center"/>
                </w:tcPr>
                <w:p w14:paraId="63449343">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监测频次</w:t>
                  </w:r>
                </w:p>
              </w:tc>
              <w:tc>
                <w:tcPr>
                  <w:tcW w:w="2979" w:type="dxa"/>
                  <w:vAlign w:val="center"/>
                </w:tcPr>
                <w:p w14:paraId="536384E3">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监测标准</w:t>
                  </w:r>
                </w:p>
              </w:tc>
            </w:tr>
            <w:tr w14:paraId="772DEA5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515" w:hRule="atLeast"/>
                <w:jc w:val="center"/>
              </w:trPr>
              <w:tc>
                <w:tcPr>
                  <w:tcW w:w="589" w:type="dxa"/>
                  <w:vAlign w:val="center"/>
                </w:tcPr>
                <w:p w14:paraId="57A050FD">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1</w:t>
                  </w:r>
                </w:p>
              </w:tc>
              <w:tc>
                <w:tcPr>
                  <w:tcW w:w="977" w:type="dxa"/>
                  <w:vAlign w:val="center"/>
                </w:tcPr>
                <w:p w14:paraId="743D9FCE">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周界外浓度最高点</w:t>
                  </w:r>
                </w:p>
              </w:tc>
              <w:tc>
                <w:tcPr>
                  <w:tcW w:w="2183" w:type="dxa"/>
                  <w:vAlign w:val="center"/>
                </w:tcPr>
                <w:p w14:paraId="6DAA3CFF">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颗粒物</w:t>
                  </w:r>
                </w:p>
              </w:tc>
              <w:tc>
                <w:tcPr>
                  <w:tcW w:w="1230" w:type="dxa"/>
                  <w:vAlign w:val="center"/>
                </w:tcPr>
                <w:p w14:paraId="69A9160E">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1次/年</w:t>
                  </w:r>
                </w:p>
              </w:tc>
              <w:tc>
                <w:tcPr>
                  <w:tcW w:w="2979" w:type="dxa"/>
                  <w:vAlign w:val="center"/>
                </w:tcPr>
                <w:p w14:paraId="093FDF90">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《大气污染物排放限值》 (DB44/27-2001)（第二时段二级标准）排放监控浓度限值</w:t>
                  </w:r>
                </w:p>
              </w:tc>
            </w:tr>
          </w:tbl>
          <w:p w14:paraId="2657200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eastAsia" w:ascii="Times New Roman" w:hAnsi="Times New Roman" w:cs="Times New Roman"/>
                <w:color w:val="auto"/>
                <w:kern w:val="0"/>
                <w:sz w:val="24"/>
                <w:szCs w:val="20"/>
                <w:lang w:val="en-US" w:eastAsia="zh-CN" w:bidi="ar"/>
              </w:rPr>
              <w:t>（3）</w:t>
            </w:r>
            <w:r>
              <w:rPr>
                <w:rFonts w:hint="default" w:ascii="Times New Roman" w:hAnsi="Times New Roman" w:cs="Times New Roman" w:eastAsiaTheme="minorEastAsia"/>
                <w:color w:val="auto"/>
                <w:kern w:val="0"/>
                <w:sz w:val="24"/>
                <w:szCs w:val="20"/>
                <w:lang w:val="en-US" w:eastAsia="zh-CN" w:bidi="ar"/>
              </w:rPr>
              <w:t>非正常情况分析</w:t>
            </w:r>
          </w:p>
          <w:p w14:paraId="663DD02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本评价考虑在洒水降尘失效等非正常工况下的排放情况。</w:t>
            </w:r>
          </w:p>
          <w:p w14:paraId="569C7B2C">
            <w:pPr>
              <w:pStyle w:val="14"/>
              <w:keepNext w:val="0"/>
              <w:keepLines w:val="0"/>
              <w:suppressLineNumbers w:val="0"/>
              <w:spacing w:before="0" w:beforeAutospacing="0" w:after="0" w:afterAutospacing="0"/>
              <w:ind w:left="422" w:right="0" w:hanging="422"/>
              <w:jc w:val="center"/>
              <w:rPr>
                <w:rFonts w:hint="default" w:ascii="Times New Roman" w:hAnsi="Times New Roman" w:cs="Times New Roman" w:eastAsiaTheme="minorEastAsia"/>
                <w:b/>
                <w:bCs/>
                <w:color w:val="auto"/>
                <w:kern w:val="0"/>
                <w:sz w:val="21"/>
                <w:szCs w:val="21"/>
                <w:lang w:val="en-US" w:eastAsia="zh-CN" w:bidi="ar"/>
              </w:rPr>
            </w:pPr>
            <w:r>
              <w:rPr>
                <w:rFonts w:hint="default" w:ascii="Times New Roman" w:hAnsi="Times New Roman" w:cs="Times New Roman" w:eastAsiaTheme="minorEastAsia"/>
                <w:b/>
                <w:bCs/>
                <w:color w:val="auto"/>
                <w:kern w:val="0"/>
                <w:sz w:val="21"/>
                <w:szCs w:val="21"/>
                <w:lang w:val="en-US" w:eastAsia="zh-CN" w:bidi="ar"/>
              </w:rPr>
              <w:t>表4-</w:t>
            </w:r>
            <w:r>
              <w:rPr>
                <w:rFonts w:hint="eastAsia" w:cs="Times New Roman" w:eastAsiaTheme="minorEastAsia"/>
                <w:b/>
                <w:bCs/>
                <w:color w:val="auto"/>
                <w:kern w:val="0"/>
                <w:sz w:val="21"/>
                <w:szCs w:val="21"/>
                <w:lang w:val="en-US" w:eastAsia="zh-CN" w:bidi="ar"/>
              </w:rPr>
              <w:t>5</w:t>
            </w:r>
            <w:r>
              <w:rPr>
                <w:rFonts w:hint="default" w:ascii="Times New Roman" w:hAnsi="Times New Roman" w:cs="Times New Roman" w:eastAsiaTheme="minorEastAsia"/>
                <w:b/>
                <w:bCs/>
                <w:color w:val="auto"/>
                <w:kern w:val="0"/>
                <w:sz w:val="21"/>
                <w:szCs w:val="21"/>
                <w:lang w:val="en-US" w:eastAsia="zh-CN" w:bidi="ar"/>
              </w:rPr>
              <w:t xml:space="preserve"> 非正常工况排放一览表</w:t>
            </w:r>
          </w:p>
          <w:tbl>
            <w:tblPr>
              <w:tblStyle w:val="35"/>
              <w:tblpPr w:leftFromText="180" w:rightFromText="180" w:vertAnchor="text" w:tblpXSpec="center" w:tblpY="1"/>
              <w:tblOverlap w:val="never"/>
              <w:tblW w:w="79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1631"/>
              <w:gridCol w:w="780"/>
              <w:gridCol w:w="1365"/>
              <w:gridCol w:w="1140"/>
              <w:gridCol w:w="900"/>
              <w:gridCol w:w="2162"/>
            </w:tblGrid>
            <w:tr w14:paraId="316067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728" w:hRule="exact"/>
                <w:jc w:val="center"/>
              </w:trPr>
              <w:tc>
                <w:tcPr>
                  <w:tcW w:w="1631" w:type="dxa"/>
                  <w:tcBorders>
                    <w:left w:val="single" w:color="000000" w:sz="6" w:space="0"/>
                    <w:bottom w:val="single" w:color="000000" w:sz="6" w:space="0"/>
                    <w:right w:val="single" w:color="000000" w:sz="6" w:space="0"/>
                    <w:tl2br w:val="nil"/>
                    <w:tr2bl w:val="nil"/>
                  </w:tcBorders>
                  <w:vAlign w:val="center"/>
                </w:tcPr>
                <w:p w14:paraId="6A4032C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12" w:lineRule="auto"/>
                    <w:ind w:left="0" w:right="0" w:firstLine="0" w:firstLineChars="0"/>
                    <w:jc w:val="center"/>
                    <w:textAlignment w:val="auto"/>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非正常排放原因</w:t>
                  </w:r>
                </w:p>
              </w:tc>
              <w:tc>
                <w:tcPr>
                  <w:tcW w:w="780" w:type="dxa"/>
                  <w:tcBorders>
                    <w:left w:val="single" w:color="000000" w:sz="6" w:space="0"/>
                    <w:bottom w:val="single" w:color="000000" w:sz="6" w:space="0"/>
                    <w:right w:val="single" w:color="000000" w:sz="6" w:space="0"/>
                    <w:tl2br w:val="nil"/>
                    <w:tr2bl w:val="nil"/>
                  </w:tcBorders>
                  <w:vAlign w:val="center"/>
                </w:tcPr>
                <w:p w14:paraId="1D5A757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12" w:lineRule="auto"/>
                    <w:ind w:left="0" w:right="0" w:firstLine="0" w:firstLineChars="0"/>
                    <w:jc w:val="center"/>
                    <w:textAlignment w:val="auto"/>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污染物</w:t>
                  </w:r>
                </w:p>
              </w:tc>
              <w:tc>
                <w:tcPr>
                  <w:tcW w:w="1365" w:type="dxa"/>
                  <w:tcBorders>
                    <w:left w:val="single" w:color="000000" w:sz="6" w:space="0"/>
                    <w:bottom w:val="single" w:color="000000" w:sz="6" w:space="0"/>
                    <w:right w:val="single" w:color="000000" w:sz="6" w:space="0"/>
                    <w:tl2br w:val="nil"/>
                    <w:tr2bl w:val="nil"/>
                  </w:tcBorders>
                  <w:vAlign w:val="center"/>
                </w:tcPr>
                <w:p w14:paraId="6F864DA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12" w:lineRule="auto"/>
                    <w:ind w:left="0" w:right="0" w:firstLine="0" w:firstLineChars="0"/>
                    <w:jc w:val="center"/>
                    <w:textAlignment w:val="auto"/>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非正常排放量（kg/h）</w:t>
                  </w:r>
                </w:p>
              </w:tc>
              <w:tc>
                <w:tcPr>
                  <w:tcW w:w="1140" w:type="dxa"/>
                  <w:tcBorders>
                    <w:left w:val="single" w:color="000000" w:sz="6" w:space="0"/>
                    <w:bottom w:val="single" w:color="000000" w:sz="6" w:space="0"/>
                    <w:right w:val="single" w:color="000000" w:sz="6" w:space="0"/>
                    <w:tl2br w:val="nil"/>
                    <w:tr2bl w:val="nil"/>
                  </w:tcBorders>
                  <w:vAlign w:val="center"/>
                </w:tcPr>
                <w:p w14:paraId="78588B3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12" w:lineRule="auto"/>
                    <w:ind w:left="0" w:right="0" w:firstLine="0" w:firstLineChars="0"/>
                    <w:jc w:val="center"/>
                    <w:textAlignment w:val="auto"/>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单次持续时间（h）</w:t>
                  </w:r>
                </w:p>
              </w:tc>
              <w:tc>
                <w:tcPr>
                  <w:tcW w:w="900" w:type="dxa"/>
                  <w:tcBorders>
                    <w:left w:val="single" w:color="000000" w:sz="6" w:space="0"/>
                    <w:bottom w:val="single" w:color="000000" w:sz="6" w:space="0"/>
                    <w:tl2br w:val="nil"/>
                    <w:tr2bl w:val="nil"/>
                  </w:tcBorders>
                  <w:vAlign w:val="center"/>
                </w:tcPr>
                <w:p w14:paraId="00A68D6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12" w:lineRule="auto"/>
                    <w:ind w:left="0" w:right="0" w:firstLine="0" w:firstLineChars="0"/>
                    <w:jc w:val="center"/>
                    <w:textAlignment w:val="auto"/>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年发生频</w:t>
                  </w:r>
                </w:p>
                <w:p w14:paraId="2696421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12" w:lineRule="auto"/>
                    <w:ind w:left="0" w:right="0" w:firstLine="0" w:firstLineChars="0"/>
                    <w:jc w:val="center"/>
                    <w:textAlignment w:val="auto"/>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次/次</w:t>
                  </w:r>
                </w:p>
              </w:tc>
              <w:tc>
                <w:tcPr>
                  <w:tcW w:w="2162" w:type="dxa"/>
                  <w:tcBorders>
                    <w:left w:val="single" w:color="000000" w:sz="6" w:space="0"/>
                    <w:bottom w:val="single" w:color="000000" w:sz="6" w:space="0"/>
                    <w:tl2br w:val="nil"/>
                    <w:tr2bl w:val="nil"/>
                  </w:tcBorders>
                  <w:vAlign w:val="center"/>
                </w:tcPr>
                <w:p w14:paraId="6614BA6F">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应对措施</w:t>
                  </w:r>
                </w:p>
              </w:tc>
            </w:tr>
            <w:tr w14:paraId="0B9929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810" w:hRule="exact"/>
                <w:jc w:val="center"/>
              </w:trPr>
              <w:tc>
                <w:tcPr>
                  <w:tcW w:w="1631" w:type="dxa"/>
                  <w:tcBorders>
                    <w:left w:val="single" w:color="000000" w:sz="6" w:space="0"/>
                    <w:right w:val="single" w:color="000000" w:sz="6" w:space="0"/>
                    <w:tl2br w:val="nil"/>
                    <w:tr2bl w:val="nil"/>
                  </w:tcBorders>
                  <w:vAlign w:val="center"/>
                </w:tcPr>
                <w:p w14:paraId="6B80E680">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洒水降尘设备</w:t>
                  </w:r>
                </w:p>
              </w:tc>
              <w:tc>
                <w:tcPr>
                  <w:tcW w:w="780" w:type="dxa"/>
                  <w:tcBorders>
                    <w:top w:val="single" w:color="auto" w:sz="4" w:space="0"/>
                    <w:left w:val="single" w:color="000000" w:sz="6" w:space="0"/>
                    <w:bottom w:val="single" w:color="auto" w:sz="4" w:space="0"/>
                    <w:right w:val="single" w:color="000000" w:sz="6" w:space="0"/>
                    <w:tl2br w:val="nil"/>
                    <w:tr2bl w:val="nil"/>
                  </w:tcBorders>
                  <w:vAlign w:val="center"/>
                </w:tcPr>
                <w:p w14:paraId="72A92A86">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颗粒物</w:t>
                  </w:r>
                </w:p>
              </w:tc>
              <w:tc>
                <w:tcPr>
                  <w:tcW w:w="1365" w:type="dxa"/>
                  <w:tcBorders>
                    <w:top w:val="single" w:color="auto" w:sz="4" w:space="0"/>
                    <w:left w:val="single" w:color="000000" w:sz="6" w:space="0"/>
                    <w:bottom w:val="single" w:color="auto" w:sz="4" w:space="0"/>
                    <w:right w:val="single" w:color="000000" w:sz="6" w:space="0"/>
                    <w:tl2br w:val="nil"/>
                    <w:tr2bl w:val="nil"/>
                  </w:tcBorders>
                  <w:vAlign w:val="center"/>
                </w:tcPr>
                <w:p w14:paraId="69F397C9">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0.702</w:t>
                  </w:r>
                </w:p>
              </w:tc>
              <w:tc>
                <w:tcPr>
                  <w:tcW w:w="1140" w:type="dxa"/>
                  <w:tcBorders>
                    <w:top w:val="single" w:color="auto" w:sz="4" w:space="0"/>
                    <w:left w:val="single" w:color="000000" w:sz="6" w:space="0"/>
                    <w:bottom w:val="single" w:color="auto" w:sz="4" w:space="0"/>
                    <w:right w:val="single" w:color="000000" w:sz="6" w:space="0"/>
                    <w:tl2br w:val="nil"/>
                    <w:tr2bl w:val="nil"/>
                  </w:tcBorders>
                  <w:vAlign w:val="center"/>
                </w:tcPr>
                <w:p w14:paraId="027A219B">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1</w:t>
                  </w:r>
                </w:p>
              </w:tc>
              <w:tc>
                <w:tcPr>
                  <w:tcW w:w="900" w:type="dxa"/>
                  <w:tcBorders>
                    <w:top w:val="single" w:color="auto" w:sz="4" w:space="0"/>
                    <w:left w:val="single" w:color="000000" w:sz="6" w:space="0"/>
                    <w:bottom w:val="single" w:color="auto" w:sz="4" w:space="0"/>
                    <w:tl2br w:val="nil"/>
                    <w:tr2bl w:val="nil"/>
                  </w:tcBorders>
                  <w:vAlign w:val="center"/>
                </w:tcPr>
                <w:p w14:paraId="30949A87">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极少</w:t>
                  </w:r>
                </w:p>
              </w:tc>
              <w:tc>
                <w:tcPr>
                  <w:tcW w:w="2162" w:type="dxa"/>
                  <w:tcBorders>
                    <w:left w:val="single" w:color="000000" w:sz="6" w:space="0"/>
                    <w:tl2br w:val="nil"/>
                    <w:tr2bl w:val="nil"/>
                  </w:tcBorders>
                  <w:vAlign w:val="center"/>
                </w:tcPr>
                <w:p w14:paraId="02EFD67A">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color w:val="auto"/>
                      <w:highlight w:val="none"/>
                      <w:lang w:val="en-US" w:eastAsia="zh-CN"/>
                    </w:rPr>
                    <w:t>定期检查，出现故障</w:t>
                  </w:r>
                  <w:r>
                    <w:rPr>
                      <w:rFonts w:hint="default"/>
                      <w:color w:val="auto"/>
                      <w:highlight w:val="none"/>
                    </w:rPr>
                    <w:t>立即停止作业</w:t>
                  </w:r>
                  <w:r>
                    <w:rPr>
                      <w:rFonts w:hint="eastAsia"/>
                      <w:color w:val="auto"/>
                      <w:highlight w:val="none"/>
                      <w:lang w:val="en-US" w:eastAsia="zh-CN"/>
                    </w:rPr>
                    <w:t>及时修复</w:t>
                  </w:r>
                </w:p>
              </w:tc>
            </w:tr>
          </w:tbl>
          <w:p w14:paraId="142B851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p>
          <w:p w14:paraId="5BA6A98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项目在非正常排放情况下，污染物的浓度比正常工况要大得多，说明事故排放会对外界环境造成较大影响。因此，为了减轻本项目对周围环境的影响程度和范围，保证该地区的可持续发展，项目在生产过程中必须加强管理，保证废气处理设施正常运行，避免事故发生。当废气处理设施出现故障不能正常运行时，应尽快停产进行维修，避免对周围环境造成污染影响。</w:t>
            </w:r>
          </w:p>
          <w:p w14:paraId="4FB3A231">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eastAsiaTheme="minorEastAsia"/>
                <w:b/>
                <w:bCs/>
                <w:color w:val="auto"/>
                <w:kern w:val="0"/>
                <w:sz w:val="24"/>
                <w:szCs w:val="20"/>
                <w:lang w:val="en-US" w:eastAsia="zh-CN" w:bidi="ar"/>
              </w:rPr>
            </w:pPr>
            <w:r>
              <w:rPr>
                <w:rFonts w:hint="default" w:ascii="Times New Roman" w:hAnsi="Times New Roman" w:cs="Times New Roman" w:eastAsiaTheme="minorEastAsia"/>
                <w:b/>
                <w:bCs/>
                <w:color w:val="auto"/>
                <w:kern w:val="0"/>
                <w:sz w:val="24"/>
                <w:szCs w:val="20"/>
                <w:lang w:val="en-US" w:eastAsia="zh-CN" w:bidi="ar"/>
              </w:rPr>
              <w:t>二、废水</w:t>
            </w:r>
          </w:p>
          <w:p w14:paraId="38800B29">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（1）生活污水</w:t>
            </w:r>
          </w:p>
          <w:p w14:paraId="24BA5CD7">
            <w:pPr>
              <w:keepNext w:val="0"/>
              <w:keepLines w:val="0"/>
              <w:suppressLineNumbers w:val="0"/>
              <w:spacing w:before="0" w:beforeAutospacing="0" w:after="0" w:afterAutospacing="0" w:line="360" w:lineRule="auto"/>
              <w:ind w:left="0" w:right="0" w:firstLine="560"/>
              <w:jc w:val="both"/>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本项目营运期废水主要为员工生活污水。项目办公人员2人，按《广东省用水定额》（</w:t>
            </w:r>
            <w:r>
              <w:rPr>
                <w:rFonts w:hint="default" w:ascii="Times New Roman" w:hAnsi="Times New Roman" w:eastAsia="宋体" w:cs="Times New Roman"/>
                <w:color w:val="auto"/>
                <w:kern w:val="2"/>
                <w:sz w:val="24"/>
                <w:szCs w:val="24"/>
                <w:lang w:val="en-US" w:eastAsia="zh-CN" w:bidi="ar-SA"/>
              </w:rPr>
              <w:t>DB44/T 1461</w:t>
            </w:r>
            <w:r>
              <w:rPr>
                <w:rFonts w:hint="eastAsia" w:ascii="Times New Roman" w:hAnsi="Times New Roman" w:eastAsia="宋体" w:cs="Times New Roman"/>
                <w:color w:val="auto"/>
                <w:kern w:val="2"/>
                <w:sz w:val="24"/>
                <w:szCs w:val="24"/>
                <w:lang w:val="en-US" w:eastAsia="zh-CN" w:bidi="ar-SA"/>
              </w:rPr>
              <w:t>.3</w:t>
            </w:r>
            <w:r>
              <w:rPr>
                <w:rFonts w:hint="default" w:ascii="Times New Roman" w:hAnsi="Times New Roman" w:eastAsia="宋体" w:cs="Times New Roman"/>
                <w:color w:val="auto"/>
                <w:kern w:val="2"/>
                <w:sz w:val="24"/>
                <w:szCs w:val="24"/>
                <w:lang w:val="en-US" w:eastAsia="zh-CN" w:bidi="ar-SA"/>
              </w:rPr>
              <w:t>-20</w:t>
            </w:r>
            <w:r>
              <w:rPr>
                <w:rFonts w:hint="eastAsia" w:ascii="Times New Roman" w:hAnsi="Times New Roman" w:eastAsia="宋体" w:cs="Times New Roman"/>
                <w:color w:val="auto"/>
                <w:kern w:val="2"/>
                <w:sz w:val="24"/>
                <w:szCs w:val="24"/>
                <w:lang w:val="en-US" w:eastAsia="zh-CN" w:bidi="ar-SA"/>
              </w:rPr>
              <w:t>21）中有卫生间的办公楼计算，取38</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（人</w:t>
            </w:r>
            <w:r>
              <w:rPr>
                <w:rFonts w:hint="default" w:ascii="Times New Roman" w:hAnsi="Times New Roman" w:eastAsia="宋体"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a）计，项目最高日用水 0.21</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 xml:space="preserve"> /d</w:t>
            </w:r>
            <w:r>
              <w:rPr>
                <w:rFonts w:hint="eastAsia" w:ascii="Times New Roman" w:hAnsi="Times New Roman" w:eastAsia="宋体" w:cs="Times New Roman"/>
                <w:color w:val="auto"/>
                <w:kern w:val="2"/>
                <w:sz w:val="24"/>
                <w:szCs w:val="24"/>
                <w:lang w:val="en-US" w:eastAsia="zh-CN" w:bidi="ar-SA"/>
              </w:rPr>
              <w:t>，项目生活用水总量为0.21</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 xml:space="preserve"> /d</w:t>
            </w:r>
            <w:r>
              <w:rPr>
                <w:rFonts w:hint="eastAsia" w:ascii="Times New Roman" w:hAnsi="Times New Roman" w:eastAsia="宋体" w:cs="Times New Roman"/>
                <w:color w:val="auto"/>
                <w:kern w:val="2"/>
                <w:sz w:val="24"/>
                <w:szCs w:val="24"/>
                <w:lang w:val="en-US" w:eastAsia="zh-CN" w:bidi="ar-SA"/>
              </w:rPr>
              <w:t xml:space="preserve">，生活污水排放系数取 </w:t>
            </w:r>
            <w:r>
              <w:rPr>
                <w:rFonts w:hint="default" w:ascii="Times New Roman" w:hAnsi="Times New Roman" w:eastAsia="宋体" w:cs="Times New Roman"/>
                <w:color w:val="auto"/>
                <w:kern w:val="2"/>
                <w:sz w:val="24"/>
                <w:szCs w:val="24"/>
                <w:lang w:val="en-US" w:eastAsia="zh-CN" w:bidi="ar-SA"/>
              </w:rPr>
              <w:t>0.9</w:t>
            </w:r>
            <w:r>
              <w:rPr>
                <w:rFonts w:hint="eastAsia" w:ascii="Times New Roman" w:hAnsi="Times New Roman" w:eastAsia="宋体" w:cs="Times New Roman"/>
                <w:color w:val="auto"/>
                <w:kern w:val="2"/>
                <w:sz w:val="24"/>
                <w:szCs w:val="24"/>
                <w:lang w:val="en-US" w:eastAsia="zh-CN" w:bidi="ar-SA"/>
              </w:rPr>
              <w:t>，则生活污水产生量为0.20</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 xml:space="preserve">3 </w:t>
            </w:r>
            <w:r>
              <w:rPr>
                <w:rFonts w:hint="default" w:ascii="Times New Roman" w:hAnsi="Times New Roman" w:eastAsia="宋体" w:cs="Times New Roman"/>
                <w:color w:val="auto"/>
                <w:kern w:val="2"/>
                <w:sz w:val="24"/>
                <w:szCs w:val="24"/>
                <w:lang w:val="en-US" w:eastAsia="zh-CN" w:bidi="ar-SA"/>
              </w:rPr>
              <w:t>/d</w:t>
            </w:r>
            <w:r>
              <w:rPr>
                <w:rFonts w:hint="eastAsia" w:ascii="Times New Roman" w:hAnsi="Times New Roman" w:eastAsia="宋体" w:cs="Times New Roman"/>
                <w:color w:val="auto"/>
                <w:kern w:val="2"/>
                <w:sz w:val="24"/>
                <w:szCs w:val="24"/>
                <w:lang w:val="en-US" w:eastAsia="zh-CN" w:bidi="ar-SA"/>
              </w:rPr>
              <w:t>。按年工作360天计，生活用水量为72</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 xml:space="preserve"> /a</w:t>
            </w:r>
            <w:r>
              <w:rPr>
                <w:rFonts w:hint="eastAsia" w:ascii="Times New Roman" w:hAnsi="Times New Roman" w:eastAsia="宋体" w:cs="Times New Roman"/>
                <w:color w:val="auto"/>
                <w:kern w:val="2"/>
                <w:sz w:val="24"/>
                <w:szCs w:val="24"/>
                <w:lang w:val="en-US" w:eastAsia="zh-CN" w:bidi="ar-SA"/>
              </w:rPr>
              <w:t>，生活污水产生量为72</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 xml:space="preserve"> /a</w:t>
            </w:r>
            <w:r>
              <w:rPr>
                <w:rFonts w:hint="eastAsia" w:ascii="Times New Roman" w:hAnsi="Times New Roman" w:eastAsia="宋体" w:cs="Times New Roman"/>
                <w:color w:val="auto"/>
                <w:kern w:val="2"/>
                <w:sz w:val="24"/>
                <w:szCs w:val="24"/>
                <w:lang w:val="en-US" w:eastAsia="zh-CN" w:bidi="ar-SA"/>
              </w:rPr>
              <w:t>。</w:t>
            </w:r>
          </w:p>
          <w:p w14:paraId="7BE71E84">
            <w:pPr>
              <w:keepNext w:val="0"/>
              <w:keepLines w:val="0"/>
              <w:suppressLineNumbers w:val="0"/>
              <w:spacing w:before="0" w:beforeAutospacing="0" w:after="0" w:afterAutospacing="0" w:line="360" w:lineRule="auto"/>
              <w:ind w:left="0" w:right="0" w:firstLine="482"/>
              <w:jc w:val="left"/>
              <w:rPr>
                <w:rFonts w:hint="default" w:ascii="Times New Roman" w:hAnsi="Times New Roman" w:eastAsia="宋体" w:cs="Times New Roman"/>
                <w:b/>
                <w:color w:val="auto"/>
                <w:szCs w:val="21"/>
                <w:highlight w:val="none"/>
              </w:rPr>
            </w:pPr>
            <w:r>
              <w:rPr>
                <w:rFonts w:hint="eastAsia" w:ascii="Times New Roman" w:hAnsi="Times New Roman" w:eastAsia="宋体" w:cs="Times New Roman"/>
                <w:color w:val="auto"/>
                <w:sz w:val="24"/>
                <w:szCs w:val="24"/>
                <w:lang w:val="en-US" w:eastAsia="zh-CN"/>
              </w:rPr>
              <w:t>参照</w:t>
            </w:r>
            <w:r>
              <w:rPr>
                <w:rFonts w:hint="default" w:ascii="Times New Roman" w:hAnsi="Times New Roman" w:eastAsia="新宋体" w:cs="Times New Roman"/>
                <w:color w:val="auto"/>
                <w:kern w:val="0"/>
                <w:sz w:val="24"/>
                <w:szCs w:val="22"/>
              </w:rPr>
              <w:t>《废水污染控制技术手册》（化学工业出版社）典型生活污水水质</w:t>
            </w:r>
            <w:r>
              <w:rPr>
                <w:rFonts w:hint="eastAsia" w:ascii="Times New Roman" w:hAnsi="Times New Roman" w:eastAsia="新宋体" w:cs="Times New Roman"/>
                <w:color w:val="auto"/>
                <w:kern w:val="0"/>
                <w:sz w:val="24"/>
                <w:szCs w:val="22"/>
                <w:lang w:eastAsia="zh-CN"/>
              </w:rPr>
              <w:t>，</w:t>
            </w:r>
            <w:r>
              <w:rPr>
                <w:rFonts w:hint="default" w:ascii="Times New Roman" w:hAnsi="Times New Roman" w:eastAsia="新宋体" w:cs="Times New Roman"/>
                <w:color w:val="auto"/>
                <w:kern w:val="0"/>
                <w:sz w:val="24"/>
                <w:szCs w:val="22"/>
              </w:rPr>
              <w:t>SS一般不超过150mg/L，BOD</w:t>
            </w:r>
            <w:r>
              <w:rPr>
                <w:rFonts w:hint="default" w:ascii="Times New Roman" w:hAnsi="Times New Roman" w:eastAsia="新宋体" w:cs="Times New Roman"/>
                <w:color w:val="auto"/>
                <w:kern w:val="0"/>
                <w:sz w:val="24"/>
                <w:szCs w:val="22"/>
                <w:vertAlign w:val="subscript"/>
              </w:rPr>
              <w:t>5</w:t>
            </w:r>
            <w:r>
              <w:rPr>
                <w:rFonts w:hint="default" w:ascii="Times New Roman" w:hAnsi="Times New Roman" w:eastAsia="新宋体" w:cs="Times New Roman"/>
                <w:color w:val="auto"/>
                <w:kern w:val="0"/>
                <w:sz w:val="24"/>
                <w:szCs w:val="22"/>
              </w:rPr>
              <w:t>一般不超过150mg/L，COD</w:t>
            </w:r>
            <w:r>
              <w:rPr>
                <w:rFonts w:hint="eastAsia" w:eastAsia="新宋体" w:cs="Times New Roman"/>
                <w:color w:val="auto"/>
                <w:kern w:val="0"/>
                <w:sz w:val="24"/>
                <w:szCs w:val="22"/>
                <w:lang w:val="en-US" w:eastAsia="zh-CN"/>
              </w:rPr>
              <w:t>cr</w:t>
            </w:r>
            <w:r>
              <w:rPr>
                <w:rFonts w:hint="default" w:ascii="Times New Roman" w:hAnsi="Times New Roman" w:eastAsia="新宋体" w:cs="Times New Roman"/>
                <w:color w:val="auto"/>
                <w:kern w:val="0"/>
                <w:sz w:val="24"/>
                <w:szCs w:val="22"/>
              </w:rPr>
              <w:t>一般不超过250mg/L，氨氮一般不超过20mg/L，动植物油一般不超过20mg/L，</w:t>
            </w:r>
            <w:r>
              <w:rPr>
                <w:rFonts w:hint="eastAsia" w:ascii="Times New Roman" w:hAnsi="Times New Roman" w:eastAsia="宋体" w:cs="Times New Roman"/>
                <w:color w:val="auto"/>
                <w:sz w:val="24"/>
                <w:szCs w:val="24"/>
                <w:lang w:val="en-US" w:eastAsia="zh-CN"/>
              </w:rPr>
              <w:t>生活污水经三级化粪池处理，三级化粪池对各污染物去除效率参照《第一次全国污染源普查 城镇生活源产排污系数手册》中“二区一类城市”：CODcr</w:t>
            </w:r>
            <w:r>
              <w:rPr>
                <w:rFonts w:hint="eastAsia" w:eastAsia="新宋体" w:cs="Times New Roman"/>
                <w:color w:val="auto"/>
                <w:kern w:val="0"/>
                <w:sz w:val="24"/>
                <w:szCs w:val="22"/>
                <w:lang w:val="en-US" w:eastAsia="zh-CN"/>
              </w:rPr>
              <w:t>去除效率</w:t>
            </w:r>
            <w:r>
              <w:rPr>
                <w:rFonts w:hint="eastAsia" w:ascii="Times New Roman" w:hAnsi="Times New Roman" w:eastAsia="宋体" w:cs="Times New Roman"/>
                <w:color w:val="auto"/>
                <w:sz w:val="24"/>
                <w:szCs w:val="24"/>
                <w:lang w:val="en-US" w:eastAsia="zh-CN"/>
              </w:rPr>
              <w:t>20%、BOD</w:t>
            </w:r>
            <w:r>
              <w:rPr>
                <w:rFonts w:hint="eastAsia" w:ascii="Times New Roman" w:hAnsi="Times New Roman" w:eastAsia="宋体" w:cs="Times New Roman"/>
                <w:color w:val="auto"/>
                <w:sz w:val="24"/>
                <w:szCs w:val="24"/>
                <w:vertAlign w:val="subscript"/>
                <w:lang w:val="en-US" w:eastAsia="zh-CN"/>
              </w:rPr>
              <w:t xml:space="preserve">5 </w:t>
            </w:r>
            <w:r>
              <w:rPr>
                <w:rFonts w:hint="eastAsia" w:eastAsia="新宋体" w:cs="Times New Roman"/>
                <w:color w:val="auto"/>
                <w:kern w:val="0"/>
                <w:sz w:val="24"/>
                <w:szCs w:val="22"/>
                <w:lang w:val="en-US" w:eastAsia="zh-CN"/>
              </w:rPr>
              <w:t>去除效率</w:t>
            </w:r>
            <w:r>
              <w:rPr>
                <w:rFonts w:hint="eastAsia" w:ascii="Times New Roman" w:hAnsi="Times New Roman" w:eastAsia="宋体" w:cs="Times New Roman"/>
                <w:color w:val="auto"/>
                <w:sz w:val="24"/>
                <w:szCs w:val="24"/>
                <w:lang w:val="en-US" w:eastAsia="zh-CN"/>
              </w:rPr>
              <w:t>21%、氨氮</w:t>
            </w:r>
            <w:r>
              <w:rPr>
                <w:rFonts w:hint="eastAsia" w:eastAsia="新宋体" w:cs="Times New Roman"/>
                <w:color w:val="auto"/>
                <w:kern w:val="0"/>
                <w:sz w:val="24"/>
                <w:szCs w:val="22"/>
                <w:lang w:val="en-US" w:eastAsia="zh-CN"/>
              </w:rPr>
              <w:t>去除效率</w:t>
            </w:r>
            <w:r>
              <w:rPr>
                <w:rFonts w:hint="eastAsia" w:ascii="Times New Roman" w:hAnsi="Times New Roman" w:eastAsia="宋体" w:cs="Times New Roman"/>
                <w:color w:val="auto"/>
                <w:sz w:val="24"/>
                <w:szCs w:val="24"/>
                <w:lang w:val="en-US" w:eastAsia="zh-CN"/>
              </w:rPr>
              <w:t>3%，动植物油</w:t>
            </w:r>
            <w:r>
              <w:rPr>
                <w:rFonts w:hint="eastAsia" w:eastAsia="新宋体" w:cs="Times New Roman"/>
                <w:color w:val="auto"/>
                <w:kern w:val="0"/>
                <w:sz w:val="24"/>
                <w:szCs w:val="22"/>
                <w:lang w:val="en-US" w:eastAsia="zh-CN"/>
              </w:rPr>
              <w:t>去除效率</w:t>
            </w:r>
            <w:r>
              <w:rPr>
                <w:rFonts w:hint="eastAsia" w:ascii="Times New Roman" w:hAnsi="Times New Roman" w:eastAsia="宋体" w:cs="Times New Roman"/>
                <w:color w:val="auto"/>
                <w:sz w:val="24"/>
                <w:szCs w:val="24"/>
                <w:lang w:val="en-US" w:eastAsia="zh-CN"/>
              </w:rPr>
              <w:t xml:space="preserve">15%，SS </w:t>
            </w:r>
            <w:r>
              <w:rPr>
                <w:rFonts w:hint="eastAsia" w:eastAsia="新宋体" w:cs="Times New Roman"/>
                <w:color w:val="auto"/>
                <w:kern w:val="0"/>
                <w:sz w:val="24"/>
                <w:szCs w:val="22"/>
                <w:lang w:val="en-US" w:eastAsia="zh-CN"/>
              </w:rPr>
              <w:t>去除效率</w:t>
            </w:r>
            <w:r>
              <w:rPr>
                <w:rFonts w:hint="eastAsia" w:ascii="Times New Roman" w:hAnsi="Times New Roman" w:eastAsia="宋体" w:cs="Times New Roman"/>
                <w:color w:val="auto"/>
                <w:sz w:val="24"/>
                <w:szCs w:val="24"/>
                <w:lang w:val="en-US" w:eastAsia="zh-CN"/>
              </w:rPr>
              <w:t>50%。产排情况见下表所示，具体见下表。</w:t>
            </w:r>
          </w:p>
          <w:p w14:paraId="7C4A500F">
            <w:pPr>
              <w:keepNext w:val="0"/>
              <w:keepLines w:val="0"/>
              <w:suppressLineNumbers w:val="0"/>
              <w:spacing w:before="0" w:beforeAutospacing="0" w:after="0" w:afterAutospacing="0" w:line="360" w:lineRule="auto"/>
              <w:ind w:left="0" w:right="0" w:firstLine="482"/>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color w:val="auto"/>
                <w:szCs w:val="21"/>
                <w:highlight w:val="none"/>
              </w:rPr>
              <w:t>表4-</w:t>
            </w:r>
            <w:r>
              <w:rPr>
                <w:rFonts w:hint="eastAsia" w:ascii="Times New Roman" w:hAnsi="Times New Roman" w:eastAsia="宋体" w:cs="Times New Roman"/>
                <w:b/>
                <w:color w:val="auto"/>
                <w:szCs w:val="21"/>
                <w:highlight w:val="none"/>
                <w:lang w:val="en-US" w:eastAsia="zh-CN"/>
              </w:rPr>
              <w:t>6</w:t>
            </w:r>
            <w:r>
              <w:rPr>
                <w:rFonts w:hint="default" w:ascii="Times New Roman" w:hAnsi="Times New Roman" w:eastAsia="宋体" w:cs="Times New Roman"/>
                <w:b/>
                <w:color w:val="auto"/>
                <w:szCs w:val="21"/>
                <w:highlight w:val="none"/>
              </w:rPr>
              <w:t xml:space="preserve"> 本项目污水污染物产、排汇总表</w:t>
            </w:r>
          </w:p>
          <w:tbl>
            <w:tblPr>
              <w:tblStyle w:val="35"/>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0"/>
              <w:gridCol w:w="2148"/>
              <w:gridCol w:w="1608"/>
              <w:gridCol w:w="1443"/>
              <w:gridCol w:w="1509"/>
            </w:tblGrid>
            <w:tr w14:paraId="48CD1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56" w:type="dxa"/>
                  <w:noWrap/>
                  <w:vAlign w:val="center"/>
                </w:tcPr>
                <w:p w14:paraId="5E1743A3">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类别</w:t>
                  </w:r>
                </w:p>
              </w:tc>
              <w:tc>
                <w:tcPr>
                  <w:tcW w:w="1786" w:type="dxa"/>
                  <w:noWrap w:val="0"/>
                  <w:vAlign w:val="center"/>
                </w:tcPr>
                <w:p w14:paraId="20211A6B">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1337" w:type="dxa"/>
                  <w:noWrap w:val="0"/>
                  <w:vAlign w:val="center"/>
                </w:tcPr>
                <w:p w14:paraId="030D760B">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COD</w:t>
                  </w:r>
                  <w:r>
                    <w:rPr>
                      <w:rFonts w:hint="default" w:ascii="Times New Roman" w:hAnsi="Times New Roman" w:eastAsia="宋体" w:cs="Times New Roman"/>
                      <w:color w:val="auto"/>
                      <w:szCs w:val="21"/>
                      <w:vertAlign w:val="subscript"/>
                    </w:rPr>
                    <w:t>Cr</w:t>
                  </w:r>
                </w:p>
              </w:tc>
              <w:tc>
                <w:tcPr>
                  <w:tcW w:w="1200" w:type="dxa"/>
                  <w:noWrap w:val="0"/>
                  <w:vAlign w:val="center"/>
                </w:tcPr>
                <w:p w14:paraId="2985840A">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BOD</w:t>
                  </w:r>
                  <w:r>
                    <w:rPr>
                      <w:rFonts w:hint="default" w:ascii="Times New Roman" w:hAnsi="Times New Roman" w:eastAsia="宋体" w:cs="Times New Roman"/>
                      <w:color w:val="auto"/>
                      <w:szCs w:val="21"/>
                      <w:vertAlign w:val="subscript"/>
                    </w:rPr>
                    <w:t>5</w:t>
                  </w:r>
                </w:p>
              </w:tc>
              <w:tc>
                <w:tcPr>
                  <w:tcW w:w="1254" w:type="dxa"/>
                  <w:noWrap w:val="0"/>
                  <w:vAlign w:val="center"/>
                </w:tcPr>
                <w:p w14:paraId="5F3E084B">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SS</w:t>
                  </w:r>
                </w:p>
              </w:tc>
            </w:tr>
            <w:tr w14:paraId="6CD2D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56" w:type="dxa"/>
                  <w:vMerge w:val="restart"/>
                  <w:noWrap/>
                  <w:vAlign w:val="center"/>
                </w:tcPr>
                <w:p w14:paraId="6800B0BA">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 w:val="22"/>
                      <w:lang w:val="en-US"/>
                    </w:rPr>
                  </w:pPr>
                  <w:r>
                    <w:rPr>
                      <w:rFonts w:hint="default" w:ascii="Times New Roman" w:hAnsi="Times New Roman" w:eastAsia="宋体" w:cs="Times New Roman"/>
                      <w:color w:val="auto"/>
                      <w:kern w:val="2"/>
                      <w:sz w:val="21"/>
                      <w:szCs w:val="21"/>
                      <w:lang w:val="en-US" w:eastAsia="zh-CN" w:bidi="ar-SA"/>
                    </w:rPr>
                    <w:t>污水</w:t>
                  </w:r>
                  <w:r>
                    <w:rPr>
                      <w:rFonts w:hint="eastAsia" w:ascii="Times New Roman" w:hAnsi="Times New Roman" w:eastAsia="宋体" w:cs="Times New Roman"/>
                      <w:color w:val="auto"/>
                      <w:kern w:val="2"/>
                      <w:sz w:val="21"/>
                      <w:szCs w:val="21"/>
                      <w:lang w:val="en-US" w:eastAsia="zh-CN" w:bidi="ar-SA"/>
                    </w:rPr>
                    <w:t>量</w:t>
                  </w:r>
                </w:p>
                <w:p w14:paraId="2491235C">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 w:val="22"/>
                    </w:rPr>
                  </w:pPr>
                  <w:r>
                    <w:rPr>
                      <w:rFonts w:hint="eastAsia" w:ascii="Times New Roman" w:hAnsi="Times New Roman" w:eastAsia="宋体" w:cs="Times New Roman"/>
                      <w:color w:val="auto"/>
                      <w:kern w:val="2"/>
                      <w:sz w:val="21"/>
                      <w:szCs w:val="21"/>
                      <w:lang w:val="en-US" w:eastAsia="zh-CN" w:bidi="ar-SA"/>
                    </w:rPr>
                    <w:t>72</w:t>
                  </w:r>
                  <w:r>
                    <w:rPr>
                      <w:rFonts w:hint="default" w:ascii="Times New Roman" w:hAnsi="Times New Roman" w:eastAsia="宋体" w:cs="Times New Roman"/>
                      <w:color w:val="auto"/>
                      <w:kern w:val="2"/>
                      <w:sz w:val="21"/>
                      <w:szCs w:val="21"/>
                      <w:lang w:val="en-US" w:eastAsia="zh-CN" w:bidi="ar-SA"/>
                    </w:rPr>
                    <w:t>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a</w:t>
                  </w:r>
                </w:p>
              </w:tc>
              <w:tc>
                <w:tcPr>
                  <w:tcW w:w="1786" w:type="dxa"/>
                  <w:noWrap w:val="0"/>
                  <w:vAlign w:val="center"/>
                </w:tcPr>
                <w:p w14:paraId="6E12F398">
                  <w:pPr>
                    <w:pStyle w:val="61"/>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产生浓度(mg/L)</w:t>
                  </w:r>
                </w:p>
              </w:tc>
              <w:tc>
                <w:tcPr>
                  <w:tcW w:w="1337" w:type="dxa"/>
                  <w:noWrap w:val="0"/>
                  <w:vAlign w:val="center"/>
                </w:tcPr>
                <w:p w14:paraId="71A5A0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250</w:t>
                  </w:r>
                </w:p>
              </w:tc>
              <w:tc>
                <w:tcPr>
                  <w:tcW w:w="1200" w:type="dxa"/>
                  <w:noWrap w:val="0"/>
                  <w:vAlign w:val="center"/>
                </w:tcPr>
                <w:p w14:paraId="6F34CE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150</w:t>
                  </w:r>
                </w:p>
              </w:tc>
              <w:tc>
                <w:tcPr>
                  <w:tcW w:w="1254" w:type="dxa"/>
                  <w:noWrap w:val="0"/>
                  <w:vAlign w:val="center"/>
                </w:tcPr>
                <w:p w14:paraId="1246EF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r>
                    <w:rPr>
                      <w:rFonts w:hint="default" w:ascii="Times New Roman" w:hAnsi="Times New Roman" w:eastAsia="宋体" w:cs="Times New Roman"/>
                      <w:color w:val="auto"/>
                      <w:szCs w:val="21"/>
                      <w:lang w:val="en-US" w:eastAsia="zh-CN"/>
                    </w:rPr>
                    <w:t>0</w:t>
                  </w:r>
                </w:p>
              </w:tc>
            </w:tr>
            <w:tr w14:paraId="48BCF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56" w:type="dxa"/>
                  <w:vMerge w:val="continue"/>
                  <w:noWrap/>
                  <w:vAlign w:val="center"/>
                </w:tcPr>
                <w:p w14:paraId="61D40174">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 w:val="22"/>
                    </w:rPr>
                  </w:pPr>
                </w:p>
              </w:tc>
              <w:tc>
                <w:tcPr>
                  <w:tcW w:w="1786" w:type="dxa"/>
                  <w:noWrap w:val="0"/>
                  <w:vAlign w:val="center"/>
                </w:tcPr>
                <w:p w14:paraId="1B8373FB">
                  <w:pPr>
                    <w:pStyle w:val="61"/>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产生量(</w:t>
                  </w:r>
                  <w:r>
                    <w:rPr>
                      <w:rFonts w:hint="eastAsia" w:ascii="Times New Roman" w:hAnsi="Times New Roman" w:eastAsia="宋体" w:cs="Times New Roman"/>
                      <w:color w:val="auto"/>
                      <w:lang w:val="en-US" w:eastAsia="zh-CN"/>
                    </w:rPr>
                    <w:t>t</w:t>
                  </w:r>
                  <w:r>
                    <w:rPr>
                      <w:rFonts w:hint="default" w:ascii="Times New Roman" w:hAnsi="Times New Roman" w:eastAsia="宋体" w:cs="Times New Roman"/>
                      <w:color w:val="auto"/>
                    </w:rPr>
                    <w:t>/a)</w:t>
                  </w:r>
                </w:p>
              </w:tc>
              <w:tc>
                <w:tcPr>
                  <w:tcW w:w="1337" w:type="dxa"/>
                  <w:noWrap w:val="0"/>
                  <w:vAlign w:val="center"/>
                </w:tcPr>
                <w:p w14:paraId="437545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0.018</w:t>
                  </w:r>
                </w:p>
              </w:tc>
              <w:tc>
                <w:tcPr>
                  <w:tcW w:w="1200" w:type="dxa"/>
                  <w:noWrap w:val="0"/>
                  <w:vAlign w:val="center"/>
                </w:tcPr>
                <w:p w14:paraId="4854C1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0.011</w:t>
                  </w:r>
                </w:p>
              </w:tc>
              <w:tc>
                <w:tcPr>
                  <w:tcW w:w="1254" w:type="dxa"/>
                  <w:noWrap w:val="0"/>
                  <w:vAlign w:val="center"/>
                </w:tcPr>
                <w:p w14:paraId="5E04FD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0.011</w:t>
                  </w:r>
                </w:p>
              </w:tc>
            </w:tr>
            <w:tr w14:paraId="0C860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56" w:type="dxa"/>
                  <w:vMerge w:val="restart"/>
                  <w:noWrap/>
                  <w:vAlign w:val="center"/>
                </w:tcPr>
                <w:p w14:paraId="7BF26DAB">
                  <w:pPr>
                    <w:pStyle w:val="61"/>
                    <w:keepNext w:val="0"/>
                    <w:keepLines w:val="0"/>
                    <w:suppressLineNumbers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外排</w:t>
                  </w:r>
                  <w:r>
                    <w:rPr>
                      <w:rFonts w:hint="eastAsia" w:ascii="Times New Roman" w:hAnsi="Times New Roman" w:eastAsia="宋体" w:cs="Times New Roman"/>
                      <w:color w:val="auto"/>
                      <w:lang w:val="en-US" w:eastAsia="zh-CN"/>
                    </w:rPr>
                    <w:t>至林地灌溉的水量</w:t>
                  </w:r>
                </w:p>
                <w:p w14:paraId="6BF8788C">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 w:val="22"/>
                    </w:rPr>
                  </w:pPr>
                  <w:r>
                    <w:rPr>
                      <w:rFonts w:hint="eastAsia" w:ascii="Times New Roman" w:hAnsi="Times New Roman" w:eastAsia="宋体" w:cs="Times New Roman"/>
                      <w:color w:val="auto"/>
                      <w:kern w:val="2"/>
                      <w:sz w:val="21"/>
                      <w:szCs w:val="21"/>
                      <w:lang w:val="en-US" w:eastAsia="zh-CN" w:bidi="ar-SA"/>
                    </w:rPr>
                    <w:t>72</w:t>
                  </w:r>
                  <w:r>
                    <w:rPr>
                      <w:rFonts w:hint="default" w:ascii="Times New Roman" w:hAnsi="Times New Roman" w:eastAsia="宋体" w:cs="Times New Roman"/>
                      <w:color w:val="auto"/>
                      <w:kern w:val="2"/>
                      <w:sz w:val="21"/>
                      <w:szCs w:val="21"/>
                      <w:lang w:val="en-US" w:eastAsia="zh-CN" w:bidi="ar-SA"/>
                    </w:rPr>
                    <w:t>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a</w:t>
                  </w:r>
                </w:p>
              </w:tc>
              <w:tc>
                <w:tcPr>
                  <w:tcW w:w="1786" w:type="dxa"/>
                  <w:noWrap w:val="0"/>
                  <w:vAlign w:val="center"/>
                </w:tcPr>
                <w:p w14:paraId="350B3C57">
                  <w:pPr>
                    <w:pStyle w:val="61"/>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排放浓度(mg/L)</w:t>
                  </w:r>
                </w:p>
              </w:tc>
              <w:tc>
                <w:tcPr>
                  <w:tcW w:w="1337" w:type="dxa"/>
                  <w:noWrap w:val="0"/>
                  <w:vAlign w:val="center"/>
                </w:tcPr>
                <w:p w14:paraId="738968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1200" w:type="dxa"/>
                  <w:noWrap w:val="0"/>
                  <w:vAlign w:val="center"/>
                </w:tcPr>
                <w:p w14:paraId="781FF2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118.5</w:t>
                  </w:r>
                </w:p>
              </w:tc>
              <w:tc>
                <w:tcPr>
                  <w:tcW w:w="1254" w:type="dxa"/>
                  <w:noWrap w:val="0"/>
                  <w:vAlign w:val="center"/>
                </w:tcPr>
                <w:p w14:paraId="264688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75</w:t>
                  </w:r>
                </w:p>
              </w:tc>
            </w:tr>
            <w:tr w14:paraId="349BF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56" w:type="dxa"/>
                  <w:vMerge w:val="continue"/>
                  <w:noWrap/>
                  <w:vAlign w:val="center"/>
                </w:tcPr>
                <w:p w14:paraId="61DD673E">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 w:val="22"/>
                    </w:rPr>
                  </w:pPr>
                </w:p>
              </w:tc>
              <w:tc>
                <w:tcPr>
                  <w:tcW w:w="1786" w:type="dxa"/>
                  <w:noWrap w:val="0"/>
                  <w:vAlign w:val="center"/>
                </w:tcPr>
                <w:p w14:paraId="62AFDA8B">
                  <w:pPr>
                    <w:pStyle w:val="61"/>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排放量(</w:t>
                  </w:r>
                  <w:r>
                    <w:rPr>
                      <w:rFonts w:hint="eastAsia" w:ascii="Times New Roman" w:hAnsi="Times New Roman" w:eastAsia="宋体" w:cs="Times New Roman"/>
                      <w:color w:val="auto"/>
                      <w:lang w:val="en-US" w:eastAsia="zh-CN"/>
                    </w:rPr>
                    <w:t>t</w:t>
                  </w:r>
                  <w:r>
                    <w:rPr>
                      <w:rFonts w:hint="default" w:ascii="Times New Roman" w:hAnsi="Times New Roman" w:eastAsia="宋体" w:cs="Times New Roman"/>
                      <w:color w:val="auto"/>
                    </w:rPr>
                    <w:t>/a)</w:t>
                  </w:r>
                </w:p>
              </w:tc>
              <w:tc>
                <w:tcPr>
                  <w:tcW w:w="1337" w:type="dxa"/>
                  <w:noWrap w:val="0"/>
                  <w:vAlign w:val="center"/>
                </w:tcPr>
                <w:p w14:paraId="665656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0.014</w:t>
                  </w:r>
                </w:p>
              </w:tc>
              <w:tc>
                <w:tcPr>
                  <w:tcW w:w="1200" w:type="dxa"/>
                  <w:noWrap w:val="0"/>
                  <w:vAlign w:val="center"/>
                </w:tcPr>
                <w:p w14:paraId="310EA7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0.009</w:t>
                  </w:r>
                </w:p>
              </w:tc>
              <w:tc>
                <w:tcPr>
                  <w:tcW w:w="1254" w:type="dxa"/>
                  <w:noWrap w:val="0"/>
                  <w:vAlign w:val="center"/>
                </w:tcPr>
                <w:p w14:paraId="5D6B17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0.009</w:t>
                  </w:r>
                </w:p>
              </w:tc>
            </w:tr>
            <w:tr w14:paraId="72B64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56" w:type="dxa"/>
                  <w:vMerge w:val="continue"/>
                  <w:noWrap/>
                  <w:vAlign w:val="center"/>
                </w:tcPr>
                <w:p w14:paraId="1B824321">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sz w:val="22"/>
                    </w:rPr>
                  </w:pPr>
                </w:p>
              </w:tc>
              <w:tc>
                <w:tcPr>
                  <w:tcW w:w="1786" w:type="dxa"/>
                  <w:noWrap w:val="0"/>
                  <w:vAlign w:val="center"/>
                </w:tcPr>
                <w:p w14:paraId="5CE8CA2D">
                  <w:pPr>
                    <w:pStyle w:val="61"/>
                    <w:keepNext w:val="0"/>
                    <w:keepLines w:val="0"/>
                    <w:suppressLineNumbers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排放标准(mg/L)</w:t>
                  </w:r>
                </w:p>
              </w:tc>
              <w:tc>
                <w:tcPr>
                  <w:tcW w:w="1337" w:type="dxa"/>
                  <w:noWrap w:val="0"/>
                  <w:vAlign w:val="center"/>
                </w:tcPr>
                <w:p w14:paraId="1191E48F">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290</w:t>
                  </w:r>
                </w:p>
              </w:tc>
              <w:tc>
                <w:tcPr>
                  <w:tcW w:w="1200" w:type="dxa"/>
                  <w:noWrap w:val="0"/>
                  <w:vAlign w:val="center"/>
                </w:tcPr>
                <w:p w14:paraId="5010CB48">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125</w:t>
                  </w:r>
                </w:p>
              </w:tc>
              <w:tc>
                <w:tcPr>
                  <w:tcW w:w="1254" w:type="dxa"/>
                  <w:noWrap w:val="0"/>
                  <w:vAlign w:val="center"/>
                </w:tcPr>
                <w:p w14:paraId="16A528E1">
                  <w:pPr>
                    <w:pStyle w:val="66"/>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115</w:t>
                  </w:r>
                </w:p>
              </w:tc>
            </w:tr>
          </w:tbl>
          <w:p w14:paraId="403CBF5A">
            <w:pPr>
              <w:pStyle w:val="53"/>
              <w:keepNext w:val="0"/>
              <w:keepLines w:val="0"/>
              <w:suppressLineNumbers w:val="0"/>
              <w:spacing w:before="0" w:beforeAutospacing="0" w:after="0" w:afterAutospacing="0"/>
              <w:ind w:left="0" w:right="0" w:firstLine="48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rPr>
              <w:t>出厂车辆冲洗废水</w:t>
            </w:r>
          </w:p>
          <w:p w14:paraId="141E119E">
            <w:pPr>
              <w:pStyle w:val="53"/>
              <w:keepNext w:val="0"/>
              <w:keepLines w:val="0"/>
              <w:suppressLineNumbers w:val="0"/>
              <w:spacing w:before="0" w:beforeAutospacing="0" w:after="0" w:afterAutospacing="0"/>
              <w:ind w:left="0" w:right="0" w:firstLine="48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color w:val="auto"/>
              </w:rPr>
              <w:t>根据业主提供资料，项目出厂车辆需进行清洗，主要对车辆轮胎进行冲洗，项目的车辆冲洗废水约2m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eastAsia" w:ascii="Times New Roman" w:hAnsi="Times New Roman" w:cs="Times New Roman"/>
                <w:color w:val="auto"/>
                <w:lang w:val="en-US" w:eastAsia="zh-CN"/>
              </w:rPr>
              <w:t>720</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/a，废水排放系数按90%进行计算，则项目出厂车辆清洗废水产生量为1.8m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eastAsia" w:ascii="Times New Roman" w:hAnsi="Times New Roman" w:cs="Times New Roman"/>
                <w:color w:val="auto"/>
                <w:lang w:val="en-US" w:eastAsia="zh-CN"/>
              </w:rPr>
              <w:t>648</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/a，清洗废水经沉淀池沉淀处理后回用，不外排。</w:t>
            </w:r>
          </w:p>
          <w:p w14:paraId="1DFB7BE6">
            <w:pPr>
              <w:keepNext w:val="0"/>
              <w:keepLines w:val="0"/>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2、水环境影响分析</w:t>
            </w:r>
          </w:p>
          <w:p w14:paraId="3E5970FF">
            <w:pPr>
              <w:keepNext w:val="0"/>
              <w:keepLines w:val="0"/>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（1）</w:t>
            </w:r>
            <w:r>
              <w:rPr>
                <w:rStyle w:val="41"/>
                <w:rFonts w:hint="default" w:ascii="Times New Roman" w:hAnsi="Times New Roman" w:cs="Times New Roman"/>
                <w:b/>
                <w:bCs/>
                <w:color w:val="auto"/>
                <w:kern w:val="0"/>
                <w:sz w:val="24"/>
                <w:szCs w:val="24"/>
              </w:rPr>
              <w:t>项目</w:t>
            </w:r>
            <w:r>
              <w:rPr>
                <w:rStyle w:val="41"/>
                <w:rFonts w:hint="eastAsia" w:ascii="Times New Roman" w:hAnsi="Times New Roman" w:cs="Times New Roman"/>
                <w:b/>
                <w:bCs/>
                <w:color w:val="auto"/>
                <w:kern w:val="0"/>
                <w:sz w:val="24"/>
                <w:szCs w:val="24"/>
                <w:lang w:val="en-US" w:eastAsia="zh-CN"/>
              </w:rPr>
              <w:t>生活污水</w:t>
            </w:r>
            <w:r>
              <w:rPr>
                <w:rStyle w:val="41"/>
                <w:rFonts w:hint="default" w:ascii="Times New Roman" w:hAnsi="Times New Roman" w:cs="Times New Roman"/>
                <w:b/>
                <w:bCs/>
                <w:color w:val="auto"/>
                <w:kern w:val="0"/>
                <w:sz w:val="24"/>
                <w:szCs w:val="24"/>
              </w:rPr>
              <w:t>依托设施的可行性</w:t>
            </w:r>
          </w:p>
          <w:p w14:paraId="23E44235">
            <w:pPr>
              <w:keepNext w:val="0"/>
              <w:keepLines w:val="0"/>
              <w:suppressLineNumbers w:val="0"/>
              <w:spacing w:before="0" w:beforeAutospacing="0" w:after="0" w:afterAutospacing="0" w:line="360" w:lineRule="auto"/>
              <w:ind w:left="0" w:right="0" w:firstLine="720" w:firstLineChars="300"/>
              <w:jc w:val="both"/>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项目生活废水产生量约</w:t>
            </w:r>
            <w:r>
              <w:rPr>
                <w:rFonts w:hint="eastAsia" w:ascii="Times New Roman" w:hAnsi="Times New Roman" w:eastAsia="宋体" w:cs="Times New Roman"/>
                <w:color w:val="auto"/>
                <w:kern w:val="2"/>
                <w:sz w:val="24"/>
                <w:szCs w:val="24"/>
                <w:lang w:val="en-US" w:eastAsia="zh-CN" w:bidi="ar-SA"/>
              </w:rPr>
              <w:t>72</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 xml:space="preserve"> /a</w:t>
            </w:r>
            <w:r>
              <w:rPr>
                <w:rFonts w:hint="default" w:ascii="Times New Roman" w:hAnsi="Times New Roman" w:eastAsia="宋体" w:cs="Times New Roman"/>
                <w:b w:val="0"/>
                <w:bCs w:val="0"/>
                <w:color w:val="auto"/>
                <w:sz w:val="24"/>
                <w:szCs w:val="24"/>
                <w:highlight w:val="none"/>
              </w:rPr>
              <w:t>，主要污染因子为 COD</w:t>
            </w:r>
            <w:r>
              <w:rPr>
                <w:rFonts w:hint="default" w:ascii="Times New Roman" w:hAnsi="Times New Roman" w:eastAsia="宋体" w:cs="Times New Roman"/>
                <w:b w:val="0"/>
                <w:bCs w:val="0"/>
                <w:color w:val="auto"/>
                <w:sz w:val="24"/>
                <w:szCs w:val="24"/>
                <w:highlight w:val="none"/>
                <w:vertAlign w:val="subscript"/>
              </w:rPr>
              <w:t>C</w:t>
            </w:r>
            <w:r>
              <w:rPr>
                <w:rFonts w:hint="default" w:ascii="Times New Roman" w:hAnsi="Times New Roman" w:eastAsia="宋体" w:cs="Times New Roman"/>
                <w:b w:val="0"/>
                <w:bCs w:val="0"/>
                <w:color w:val="auto"/>
                <w:sz w:val="24"/>
                <w:szCs w:val="24"/>
                <w:highlight w:val="none"/>
              </w:rPr>
              <w:t>r、BOD</w:t>
            </w:r>
            <w:r>
              <w:rPr>
                <w:rFonts w:hint="default" w:ascii="Times New Roman" w:hAnsi="Times New Roman" w:eastAsia="宋体" w:cs="Times New Roman"/>
                <w:b w:val="0"/>
                <w:bCs w:val="0"/>
                <w:color w:val="auto"/>
                <w:sz w:val="24"/>
                <w:szCs w:val="24"/>
                <w:highlight w:val="none"/>
                <w:vertAlign w:val="subscript"/>
              </w:rPr>
              <w:t>5</w:t>
            </w:r>
            <w:r>
              <w:rPr>
                <w:rFonts w:hint="default" w:ascii="Times New Roman" w:hAnsi="Times New Roman" w:eastAsia="宋体" w:cs="Times New Roman"/>
                <w:b w:val="0"/>
                <w:bCs w:val="0"/>
                <w:color w:val="auto"/>
                <w:sz w:val="24"/>
                <w:szCs w:val="24"/>
                <w:highlight w:val="none"/>
              </w:rPr>
              <w:t>、SS</w:t>
            </w:r>
            <w:r>
              <w:rPr>
                <w:rFonts w:hint="eastAsia" w:ascii="Times New Roman" w:hAnsi="Times New Roman" w:eastAsia="宋体" w:cs="Times New Roman"/>
                <w:b w:val="0"/>
                <w:bCs w:val="0"/>
                <w:color w:val="auto"/>
                <w:sz w:val="24"/>
                <w:szCs w:val="24"/>
                <w:highlight w:val="none"/>
                <w:lang w:eastAsia="zh-CN"/>
              </w:rPr>
              <w:t>、</w:t>
            </w:r>
            <w:r>
              <w:rPr>
                <w:rFonts w:hint="eastAsia" w:ascii="Times New Roman" w:hAnsi="Times New Roman" w:eastAsia="宋体" w:cs="Times New Roman"/>
                <w:b w:val="0"/>
                <w:bCs w:val="0"/>
                <w:color w:val="auto"/>
                <w:sz w:val="24"/>
                <w:szCs w:val="24"/>
                <w:highlight w:val="none"/>
                <w:lang w:val="en-US" w:eastAsia="zh-CN"/>
              </w:rPr>
              <w:t>LAS</w:t>
            </w:r>
            <w:r>
              <w:rPr>
                <w:rFonts w:hint="default" w:ascii="Times New Roman" w:hAnsi="Times New Roman" w:eastAsia="宋体" w:cs="Times New Roman"/>
                <w:b w:val="0"/>
                <w:bCs w:val="0"/>
                <w:color w:val="auto"/>
                <w:sz w:val="24"/>
                <w:szCs w:val="24"/>
                <w:highlight w:val="none"/>
              </w:rPr>
              <w:t>等。项目生活污水经处理后</w:t>
            </w:r>
            <w:r>
              <w:rPr>
                <w:rFonts w:hint="eastAsia" w:ascii="Times New Roman" w:hAnsi="Times New Roman" w:eastAsia="宋体" w:cs="Times New Roman"/>
                <w:b w:val="0"/>
                <w:bCs w:val="0"/>
                <w:color w:val="auto"/>
                <w:sz w:val="24"/>
                <w:szCs w:val="24"/>
                <w:highlight w:val="none"/>
                <w:lang w:val="en-US" w:eastAsia="zh-CN"/>
              </w:rPr>
              <w:t>达到</w:t>
            </w:r>
            <w:r>
              <w:rPr>
                <w:rFonts w:hint="default" w:ascii="Times New Roman" w:hAnsi="Times New Roman" w:eastAsia="宋体" w:cs="Times New Roman"/>
                <w:b w:val="0"/>
                <w:bCs w:val="0"/>
                <w:color w:val="auto"/>
                <w:sz w:val="24"/>
                <w:szCs w:val="24"/>
                <w:highlight w:val="none"/>
                <w:lang w:val="en-US" w:eastAsia="zh-CN"/>
              </w:rPr>
              <w:t>《农田灌溉水质标准》（GB 5084-2021）旱地作物标准，回用于周边林地灌溉，不外排地表水体</w:t>
            </w:r>
            <w:r>
              <w:rPr>
                <w:rFonts w:hint="default" w:ascii="Times New Roman" w:hAnsi="Times New Roman" w:eastAsia="宋体" w:cs="Times New Roman"/>
                <w:b w:val="0"/>
                <w:bCs w:val="0"/>
                <w:color w:val="auto"/>
                <w:sz w:val="24"/>
                <w:szCs w:val="24"/>
                <w:highlight w:val="none"/>
              </w:rPr>
              <w:t>。经以上措施，项目区污水对环境影响较小。</w:t>
            </w:r>
          </w:p>
          <w:p w14:paraId="51321FA1">
            <w:pPr>
              <w:keepNext w:val="0"/>
              <w:keepLines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eastAsia="zh-CN"/>
              </w:rPr>
              <w:t>（</w:t>
            </w:r>
            <w:r>
              <w:rPr>
                <w:rFonts w:hint="eastAsia" w:ascii="Times New Roman" w:hAnsi="Times New Roman" w:eastAsia="宋体" w:cs="Times New Roman"/>
                <w:b/>
                <w:bCs/>
                <w:color w:val="auto"/>
                <w:sz w:val="24"/>
                <w:szCs w:val="24"/>
                <w:highlight w:val="none"/>
                <w:lang w:val="en-US" w:eastAsia="zh-CN"/>
              </w:rPr>
              <w:t>2</w:t>
            </w:r>
            <w:r>
              <w:rPr>
                <w:rFonts w:hint="eastAsia" w:ascii="Times New Roman" w:hAnsi="Times New Roman" w:eastAsia="宋体" w:cs="Times New Roman"/>
                <w:b/>
                <w:bCs/>
                <w:color w:val="auto"/>
                <w:sz w:val="24"/>
                <w:szCs w:val="24"/>
                <w:highlight w:val="none"/>
                <w:lang w:eastAsia="zh-CN"/>
              </w:rPr>
              <w:t>）</w:t>
            </w:r>
            <w:r>
              <w:rPr>
                <w:rFonts w:hint="default" w:ascii="Times New Roman" w:hAnsi="Times New Roman" w:eastAsia="宋体" w:cs="Times New Roman"/>
                <w:b/>
                <w:bCs/>
                <w:color w:val="auto"/>
                <w:sz w:val="24"/>
                <w:szCs w:val="24"/>
                <w:highlight w:val="none"/>
              </w:rPr>
              <w:t>项目</w:t>
            </w:r>
            <w:r>
              <w:rPr>
                <w:rFonts w:hint="eastAsia" w:ascii="Times New Roman" w:hAnsi="Times New Roman" w:eastAsia="宋体" w:cs="Times New Roman"/>
                <w:b/>
                <w:bCs/>
                <w:color w:val="auto"/>
                <w:sz w:val="24"/>
                <w:szCs w:val="24"/>
                <w:highlight w:val="none"/>
                <w:lang w:val="en-US" w:eastAsia="zh-CN"/>
              </w:rPr>
              <w:t>洗车</w:t>
            </w:r>
            <w:r>
              <w:rPr>
                <w:rFonts w:hint="default" w:ascii="Times New Roman" w:hAnsi="Times New Roman" w:eastAsia="宋体" w:cs="Times New Roman"/>
                <w:b/>
                <w:bCs/>
                <w:color w:val="auto"/>
                <w:sz w:val="24"/>
                <w:szCs w:val="24"/>
                <w:highlight w:val="none"/>
              </w:rPr>
              <w:t>废水</w:t>
            </w:r>
            <w:r>
              <w:rPr>
                <w:rFonts w:hint="eastAsia" w:ascii="Times New Roman" w:hAnsi="Times New Roman" w:eastAsia="宋体" w:cs="Times New Roman"/>
                <w:b/>
                <w:bCs/>
                <w:color w:val="auto"/>
                <w:sz w:val="24"/>
                <w:szCs w:val="24"/>
                <w:highlight w:val="none"/>
                <w:lang w:val="en-US" w:eastAsia="zh-CN"/>
              </w:rPr>
              <w:t>回用</w:t>
            </w:r>
            <w:r>
              <w:rPr>
                <w:rFonts w:hint="default" w:ascii="Times New Roman" w:hAnsi="Times New Roman" w:eastAsia="宋体" w:cs="Times New Roman"/>
                <w:b/>
                <w:bCs/>
                <w:color w:val="auto"/>
                <w:sz w:val="24"/>
                <w:szCs w:val="24"/>
                <w:highlight w:val="none"/>
              </w:rPr>
              <w:t>可行性分析</w:t>
            </w:r>
          </w:p>
          <w:p w14:paraId="571F5D89">
            <w:pPr>
              <w:pStyle w:val="53"/>
              <w:keepNext w:val="0"/>
              <w:keepLines w:val="0"/>
              <w:suppressLineNumbers w:val="0"/>
              <w:spacing w:before="0" w:beforeAutospacing="0" w:after="0" w:afterAutospacing="0"/>
              <w:ind w:left="0" w:right="0" w:firstLine="48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color w:val="auto"/>
              </w:rPr>
              <w:t>项目出厂车辆需进行清洗，主要对车辆轮胎进行冲洗，项目的车辆冲洗废水约2m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eastAsia" w:ascii="Times New Roman" w:hAnsi="Times New Roman" w:cs="Times New Roman"/>
                <w:color w:val="auto"/>
                <w:lang w:val="en-US" w:eastAsia="zh-CN"/>
              </w:rPr>
              <w:t>720</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/a，废水排放系数按90%进行计算，则项目出厂车辆清洗废水产生量为1.8m</w:t>
            </w:r>
            <w:r>
              <w:rPr>
                <w:rFonts w:hint="default" w:ascii="Times New Roman" w:hAnsi="Times New Roman" w:cs="Times New Roman"/>
                <w:color w:val="auto"/>
                <w:vertAlign w:val="superscript"/>
              </w:rPr>
              <w:t>3</w:t>
            </w:r>
            <w:r>
              <w:rPr>
                <w:rFonts w:hint="default" w:ascii="Times New Roman" w:hAnsi="Times New Roman" w:cs="Times New Roman"/>
                <w:color w:val="auto"/>
              </w:rPr>
              <w:t>/d，</w:t>
            </w:r>
            <w:r>
              <w:rPr>
                <w:rFonts w:hint="eastAsia" w:ascii="Times New Roman" w:hAnsi="Times New Roman" w:cs="Times New Roman"/>
                <w:color w:val="auto"/>
                <w:lang w:val="en-US" w:eastAsia="zh-CN"/>
              </w:rPr>
              <w:t>648</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/a，清洗废水经沉淀池沉淀处理后回用，不外排。</w:t>
            </w:r>
            <w:r>
              <w:rPr>
                <w:rFonts w:hint="eastAsia" w:ascii="Times New Roman" w:hAnsi="Times New Roman" w:cs="Times New Roman"/>
                <w:color w:val="auto"/>
                <w:lang w:val="en-US" w:eastAsia="zh-CN"/>
              </w:rPr>
              <w:t>沉淀池长度不小于8米，宽度不小于6米，沉淀后的建筑垃圾量较小，定期清理堆放到渣土堆场。</w:t>
            </w:r>
          </w:p>
          <w:p w14:paraId="426C57A3">
            <w:pPr>
              <w:keepNext w:val="0"/>
              <w:keepLines w:val="0"/>
              <w:suppressLineNumbers w:val="0"/>
              <w:spacing w:before="0" w:beforeAutospacing="0" w:after="0" w:afterAutospacing="0" w:line="360" w:lineRule="auto"/>
              <w:ind w:left="0" w:right="0" w:firstLine="720" w:firstLineChars="300"/>
              <w:jc w:val="both"/>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color w:val="auto"/>
                <w:sz w:val="24"/>
                <w:szCs w:val="24"/>
              </w:rPr>
              <w:t>经以上措施，项目</w:t>
            </w:r>
            <w:r>
              <w:rPr>
                <w:rFonts w:hint="eastAsia" w:ascii="Times New Roman" w:hAnsi="Times New Roman" w:eastAsia="宋体" w:cs="Times New Roman"/>
                <w:color w:val="auto"/>
                <w:sz w:val="24"/>
                <w:szCs w:val="24"/>
                <w:lang w:val="en-US" w:eastAsia="zh-CN"/>
              </w:rPr>
              <w:t>废</w:t>
            </w:r>
            <w:r>
              <w:rPr>
                <w:rFonts w:hint="default" w:ascii="Times New Roman" w:hAnsi="Times New Roman" w:eastAsia="宋体" w:cs="Times New Roman"/>
                <w:color w:val="auto"/>
                <w:sz w:val="24"/>
                <w:szCs w:val="24"/>
              </w:rPr>
              <w:t>水对环境影响较小。</w:t>
            </w:r>
          </w:p>
          <w:p w14:paraId="7E31B143">
            <w:pPr>
              <w:keepNext w:val="0"/>
              <w:keepLines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w:t>
            </w:r>
            <w:r>
              <w:rPr>
                <w:rFonts w:hint="eastAsia" w:ascii="Times New Roman" w:hAnsi="Times New Roman" w:eastAsia="宋体"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lang w:val="en-US" w:eastAsia="zh-CN"/>
              </w:rPr>
              <w:t>）水污染物排放信息</w:t>
            </w:r>
          </w:p>
          <w:p w14:paraId="0F68FE6E">
            <w:pPr>
              <w:pStyle w:val="42"/>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①废水类别、污染物及污染治理设施信息表。</w:t>
            </w:r>
          </w:p>
          <w:p w14:paraId="737D73D7">
            <w:pPr>
              <w:pStyle w:val="44"/>
              <w:suppressLineNumbers w:val="0"/>
              <w:spacing w:beforeAutospacing="0" w:afterAutospacing="0"/>
              <w:ind w:left="0" w:right="0"/>
              <w:rPr>
                <w:rFonts w:hint="default" w:ascii="Times New Roman" w:hAnsi="Times New Roman" w:cs="Times New Roman" w:eastAsiaTheme="minorEastAsia"/>
                <w:color w:val="auto"/>
                <w:kern w:val="0"/>
                <w:sz w:val="24"/>
                <w:szCs w:val="20"/>
                <w:lang w:val="en-US" w:eastAsia="zh-CN" w:bidi="ar"/>
              </w:rPr>
            </w:pPr>
          </w:p>
          <w:p w14:paraId="1F7C654E">
            <w:pPr>
              <w:pStyle w:val="50"/>
              <w:keepNext w:val="0"/>
              <w:keepLines w:val="0"/>
              <w:suppressLineNumbers w:val="0"/>
              <w:ind w:left="0" w:right="0"/>
              <w:rPr>
                <w:rFonts w:hint="default" w:ascii="Times New Roman" w:hAnsi="Times New Roman" w:cs="Times New Roman" w:eastAsiaTheme="minorEastAsia"/>
                <w:color w:val="auto"/>
                <w:kern w:val="0"/>
                <w:sz w:val="24"/>
                <w:szCs w:val="20"/>
                <w:lang w:val="en-US" w:eastAsia="zh-CN" w:bidi="ar"/>
              </w:rPr>
            </w:pPr>
          </w:p>
          <w:p w14:paraId="231C29E2">
            <w:pPr>
              <w:pStyle w:val="30"/>
              <w:keepNext w:val="0"/>
              <w:keepLines w:val="0"/>
              <w:suppressLineNumbers w:val="0"/>
              <w:spacing w:before="0" w:beforeAutospacing="0" w:after="0" w:afterAutospacing="0"/>
              <w:ind w:right="0"/>
              <w:rPr>
                <w:rFonts w:hint="default" w:ascii="Times New Roman" w:hAnsi="Times New Roman" w:cs="Times New Roman" w:eastAsiaTheme="minorEastAsia"/>
                <w:color w:val="auto"/>
                <w:kern w:val="0"/>
                <w:sz w:val="24"/>
                <w:szCs w:val="20"/>
                <w:lang w:val="en-US" w:eastAsia="zh-CN" w:bidi="ar"/>
              </w:rPr>
            </w:pPr>
          </w:p>
          <w:p w14:paraId="453C82AE">
            <w:pPr>
              <w:pStyle w:val="8"/>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kern w:val="0"/>
                <w:sz w:val="24"/>
                <w:szCs w:val="20"/>
                <w:lang w:val="en-US" w:eastAsia="zh-CN" w:bidi="ar"/>
              </w:rPr>
            </w:pPr>
          </w:p>
          <w:p w14:paraId="582FC251">
            <w:pPr>
              <w:pStyle w:val="9"/>
              <w:keepNext w:val="0"/>
              <w:keepLines w:val="0"/>
              <w:suppressLineNumbers w:val="0"/>
              <w:spacing w:before="0" w:beforeAutospacing="0" w:afterAutospacing="0"/>
              <w:ind w:right="0"/>
              <w:rPr>
                <w:rFonts w:hint="default" w:ascii="Times New Roman" w:hAnsi="Times New Roman" w:cs="Times New Roman" w:eastAsiaTheme="minorEastAsia"/>
                <w:color w:val="auto"/>
                <w:kern w:val="0"/>
                <w:sz w:val="24"/>
                <w:szCs w:val="20"/>
                <w:lang w:val="en-US" w:eastAsia="zh-CN" w:bidi="ar"/>
              </w:rPr>
            </w:pPr>
          </w:p>
          <w:p w14:paraId="6C5C45B7">
            <w:pPr>
              <w:pStyle w:val="15"/>
              <w:keepNext w:val="0"/>
              <w:keepLines w:val="0"/>
              <w:numPr>
                <w:ilvl w:val="0"/>
                <w:numId w:val="0"/>
              </w:numPr>
              <w:suppressLineNumbers w:val="0"/>
              <w:spacing w:before="0" w:beforeAutospacing="0" w:after="0" w:afterAutospacing="0"/>
              <w:ind w:left="0" w:right="0"/>
              <w:rPr>
                <w:rFonts w:hint="default"/>
                <w:lang w:val="en-US" w:eastAsia="zh-CN"/>
              </w:rPr>
            </w:pPr>
          </w:p>
          <w:p w14:paraId="7A7A6360">
            <w:pPr>
              <w:pStyle w:val="16"/>
              <w:keepNext w:val="0"/>
              <w:keepLines w:val="0"/>
              <w:suppressLineNumbers w:val="0"/>
              <w:spacing w:beforeAutospacing="0" w:afterAutospacing="0"/>
              <w:ind w:left="0" w:right="0"/>
              <w:rPr>
                <w:rFonts w:hint="default"/>
                <w:lang w:val="en-US" w:eastAsia="zh-CN"/>
              </w:rPr>
            </w:pPr>
          </w:p>
          <w:p w14:paraId="6887D889">
            <w:pPr>
              <w:pStyle w:val="42"/>
              <w:keepNext w:val="0"/>
              <w:keepLines w:val="0"/>
              <w:suppressLineNumbers w:val="0"/>
              <w:spacing w:before="0" w:beforeAutospacing="0" w:after="0" w:afterAutospacing="0" w:line="360" w:lineRule="auto"/>
              <w:ind w:left="0" w:right="0" w:firstLine="422" w:firstLineChars="200"/>
              <w:jc w:val="center"/>
              <w:rPr>
                <w:rFonts w:hint="default" w:ascii="Times New Roman" w:hAnsi="Times New Roman" w:cs="Times New Roman" w:eastAsiaTheme="minorEastAsia"/>
                <w:b/>
                <w:bCs/>
                <w:color w:val="auto"/>
                <w:kern w:val="0"/>
                <w:sz w:val="21"/>
                <w:szCs w:val="21"/>
                <w:lang w:val="en-US" w:eastAsia="zh-CN" w:bidi="ar"/>
              </w:rPr>
            </w:pPr>
            <w:r>
              <w:rPr>
                <w:rFonts w:hint="default" w:ascii="Times New Roman" w:hAnsi="Times New Roman" w:cs="Times New Roman" w:eastAsiaTheme="minorEastAsia"/>
                <w:b/>
                <w:bCs/>
                <w:color w:val="auto"/>
                <w:kern w:val="0"/>
                <w:sz w:val="21"/>
                <w:szCs w:val="21"/>
                <w:lang w:val="en-US" w:eastAsia="zh-CN" w:bidi="ar"/>
              </w:rPr>
              <w:t>表4-</w:t>
            </w:r>
            <w:r>
              <w:rPr>
                <w:rFonts w:hint="eastAsia" w:ascii="Times New Roman" w:hAnsi="Times New Roman" w:cs="Times New Roman"/>
                <w:b/>
                <w:bCs/>
                <w:color w:val="auto"/>
                <w:kern w:val="0"/>
                <w:sz w:val="21"/>
                <w:szCs w:val="21"/>
                <w:lang w:val="en-US" w:eastAsia="zh-CN" w:bidi="ar"/>
              </w:rPr>
              <w:t>7</w:t>
            </w:r>
            <w:r>
              <w:rPr>
                <w:rFonts w:hint="default" w:ascii="Times New Roman" w:hAnsi="Times New Roman" w:cs="Times New Roman" w:eastAsiaTheme="minorEastAsia"/>
                <w:b/>
                <w:bCs/>
                <w:color w:val="auto"/>
                <w:kern w:val="0"/>
                <w:sz w:val="21"/>
                <w:szCs w:val="21"/>
                <w:lang w:val="en-US" w:eastAsia="zh-CN" w:bidi="ar"/>
              </w:rPr>
              <w:t xml:space="preserve"> 废水类别、污染物及污染治理设施信息表</w:t>
            </w:r>
          </w:p>
          <w:tbl>
            <w:tblPr>
              <w:tblStyle w:val="35"/>
              <w:tblW w:w="7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920"/>
              <w:gridCol w:w="625"/>
              <w:gridCol w:w="885"/>
              <w:gridCol w:w="708"/>
              <w:gridCol w:w="803"/>
              <w:gridCol w:w="756"/>
              <w:gridCol w:w="639"/>
              <w:gridCol w:w="872"/>
              <w:gridCol w:w="1295"/>
            </w:tblGrid>
            <w:tr w14:paraId="229FE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7" w:hRule="atLeast"/>
              </w:trPr>
              <w:tc>
                <w:tcPr>
                  <w:tcW w:w="494" w:type="dxa"/>
                  <w:vMerge w:val="restart"/>
                  <w:vAlign w:val="center"/>
                </w:tcPr>
                <w:p w14:paraId="5C7AF200">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废水类别</w:t>
                  </w:r>
                </w:p>
              </w:tc>
              <w:tc>
                <w:tcPr>
                  <w:tcW w:w="920" w:type="dxa"/>
                  <w:vMerge w:val="restart"/>
                  <w:vAlign w:val="center"/>
                </w:tcPr>
                <w:p w14:paraId="43D928F4">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污染物种类</w:t>
                  </w:r>
                </w:p>
              </w:tc>
              <w:tc>
                <w:tcPr>
                  <w:tcW w:w="625" w:type="dxa"/>
                  <w:vMerge w:val="restart"/>
                  <w:vAlign w:val="center"/>
                </w:tcPr>
                <w:p w14:paraId="695BE842">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排放去向</w:t>
                  </w:r>
                </w:p>
              </w:tc>
              <w:tc>
                <w:tcPr>
                  <w:tcW w:w="885" w:type="dxa"/>
                  <w:vMerge w:val="restart"/>
                  <w:vAlign w:val="center"/>
                </w:tcPr>
                <w:p w14:paraId="3E8A3ABA">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排放规律</w:t>
                  </w:r>
                </w:p>
              </w:tc>
              <w:tc>
                <w:tcPr>
                  <w:tcW w:w="2267" w:type="dxa"/>
                  <w:gridSpan w:val="3"/>
                  <w:vAlign w:val="center"/>
                </w:tcPr>
                <w:p w14:paraId="47907BD1">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污染治理设施</w:t>
                  </w:r>
                </w:p>
              </w:tc>
              <w:tc>
                <w:tcPr>
                  <w:tcW w:w="639" w:type="dxa"/>
                  <w:vMerge w:val="restart"/>
                  <w:vAlign w:val="center"/>
                </w:tcPr>
                <w:p w14:paraId="008BE5D5">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排放口编号</w:t>
                  </w:r>
                </w:p>
              </w:tc>
              <w:tc>
                <w:tcPr>
                  <w:tcW w:w="872" w:type="dxa"/>
                  <w:vMerge w:val="restart"/>
                  <w:vAlign w:val="center"/>
                </w:tcPr>
                <w:p w14:paraId="301BE0EC">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排放口设置是否符合要求</w:t>
                  </w:r>
                </w:p>
              </w:tc>
              <w:tc>
                <w:tcPr>
                  <w:tcW w:w="1295" w:type="dxa"/>
                  <w:vMerge w:val="restart"/>
                  <w:vAlign w:val="center"/>
                </w:tcPr>
                <w:p w14:paraId="62F5DE7F">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排放口类型</w:t>
                  </w:r>
                </w:p>
              </w:tc>
            </w:tr>
            <w:tr w14:paraId="2DE1C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494" w:type="dxa"/>
                  <w:vMerge w:val="continue"/>
                  <w:vAlign w:val="center"/>
                </w:tcPr>
                <w:p w14:paraId="5B102DE4">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Merge w:val="continue"/>
                  <w:vAlign w:val="center"/>
                </w:tcPr>
                <w:p w14:paraId="2A37AA27">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625" w:type="dxa"/>
                  <w:vMerge w:val="continue"/>
                  <w:vAlign w:val="center"/>
                </w:tcPr>
                <w:p w14:paraId="0FB621A4">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885" w:type="dxa"/>
                  <w:vMerge w:val="continue"/>
                  <w:vAlign w:val="center"/>
                </w:tcPr>
                <w:p w14:paraId="6CBA3276">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708" w:type="dxa"/>
                  <w:vAlign w:val="center"/>
                </w:tcPr>
                <w:p w14:paraId="3AED714B">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污染治理设施编号</w:t>
                  </w:r>
                </w:p>
              </w:tc>
              <w:tc>
                <w:tcPr>
                  <w:tcW w:w="803" w:type="dxa"/>
                  <w:vAlign w:val="center"/>
                </w:tcPr>
                <w:p w14:paraId="0FDA961E">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污染治理设施名称</w:t>
                  </w:r>
                </w:p>
              </w:tc>
              <w:tc>
                <w:tcPr>
                  <w:tcW w:w="756" w:type="dxa"/>
                  <w:vAlign w:val="center"/>
                </w:tcPr>
                <w:p w14:paraId="2B004D98">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污染治理设施工艺</w:t>
                  </w:r>
                </w:p>
              </w:tc>
              <w:tc>
                <w:tcPr>
                  <w:tcW w:w="639" w:type="dxa"/>
                  <w:vMerge w:val="continue"/>
                  <w:vAlign w:val="center"/>
                </w:tcPr>
                <w:p w14:paraId="090EDF79">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872" w:type="dxa"/>
                  <w:vMerge w:val="continue"/>
                  <w:vAlign w:val="center"/>
                </w:tcPr>
                <w:p w14:paraId="2F81E33A">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1295" w:type="dxa"/>
                  <w:vMerge w:val="continue"/>
                  <w:vAlign w:val="center"/>
                </w:tcPr>
                <w:p w14:paraId="77BCAEF0">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r w14:paraId="5230A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1" w:hRule="atLeast"/>
              </w:trPr>
              <w:tc>
                <w:tcPr>
                  <w:tcW w:w="494" w:type="dxa"/>
                  <w:vMerge w:val="restart"/>
                  <w:vAlign w:val="center"/>
                </w:tcPr>
                <w:p w14:paraId="7778098F">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生活污水</w:t>
                  </w:r>
                </w:p>
              </w:tc>
              <w:tc>
                <w:tcPr>
                  <w:tcW w:w="920" w:type="dxa"/>
                  <w:vAlign w:val="center"/>
                </w:tcPr>
                <w:p w14:paraId="6A48DEF8">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COD</w:t>
                  </w:r>
                  <w:r>
                    <w:rPr>
                      <w:rFonts w:hint="default" w:ascii="Times New Roman" w:hAnsi="Times New Roman" w:cs="Times New Roman" w:eastAsiaTheme="minorEastAsia"/>
                      <w:color w:val="auto"/>
                      <w:kern w:val="0"/>
                      <w:sz w:val="21"/>
                      <w:szCs w:val="21"/>
                      <w:vertAlign w:val="subscript"/>
                      <w:lang w:val="en-US" w:eastAsia="zh-CN" w:bidi="ar"/>
                    </w:rPr>
                    <w:t>Cr</w:t>
                  </w:r>
                </w:p>
              </w:tc>
              <w:tc>
                <w:tcPr>
                  <w:tcW w:w="625" w:type="dxa"/>
                  <w:vMerge w:val="restart"/>
                  <w:vAlign w:val="center"/>
                </w:tcPr>
                <w:p w14:paraId="36B49953">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林地灌溉</w:t>
                  </w:r>
                </w:p>
              </w:tc>
              <w:tc>
                <w:tcPr>
                  <w:tcW w:w="885" w:type="dxa"/>
                  <w:vMerge w:val="restart"/>
                  <w:vAlign w:val="center"/>
                </w:tcPr>
                <w:p w14:paraId="35D99B06">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间接排放，排放期间流量不稳定，但不属于冲击型排放</w:t>
                  </w:r>
                </w:p>
              </w:tc>
              <w:tc>
                <w:tcPr>
                  <w:tcW w:w="708" w:type="dxa"/>
                  <w:vMerge w:val="restart"/>
                  <w:vAlign w:val="center"/>
                </w:tcPr>
                <w:p w14:paraId="3D3028F1">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H1</w:t>
                  </w:r>
                </w:p>
              </w:tc>
              <w:tc>
                <w:tcPr>
                  <w:tcW w:w="803" w:type="dxa"/>
                  <w:vMerge w:val="restart"/>
                  <w:vAlign w:val="center"/>
                </w:tcPr>
                <w:p w14:paraId="6B9119A6">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三级化粪池</w:t>
                  </w:r>
                  <w:r>
                    <w:rPr>
                      <w:rFonts w:hint="default" w:ascii="Times New Roman" w:hAnsi="Times New Roman" w:cs="Times New Roman" w:eastAsiaTheme="minorEastAsia"/>
                      <w:color w:val="auto"/>
                      <w:kern w:val="0"/>
                      <w:sz w:val="21"/>
                      <w:szCs w:val="21"/>
                      <w:lang w:val="en-US" w:eastAsia="zh-CN" w:bidi="ar"/>
                    </w:rPr>
                    <w:t>统</w:t>
                  </w:r>
                </w:p>
              </w:tc>
              <w:tc>
                <w:tcPr>
                  <w:tcW w:w="756" w:type="dxa"/>
                  <w:vMerge w:val="restart"/>
                  <w:vAlign w:val="center"/>
                </w:tcPr>
                <w:p w14:paraId="2900CC69">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三级化粪池</w:t>
                  </w:r>
                </w:p>
              </w:tc>
              <w:tc>
                <w:tcPr>
                  <w:tcW w:w="639" w:type="dxa"/>
                  <w:vMerge w:val="restart"/>
                  <w:vAlign w:val="center"/>
                </w:tcPr>
                <w:p w14:paraId="0C33313C">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D1</w:t>
                  </w:r>
                </w:p>
              </w:tc>
              <w:tc>
                <w:tcPr>
                  <w:tcW w:w="872" w:type="dxa"/>
                  <w:vMerge w:val="restart"/>
                  <w:vAlign w:val="center"/>
                </w:tcPr>
                <w:p w14:paraId="1F597C0A">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☑是</w:t>
                  </w:r>
                </w:p>
                <w:p w14:paraId="4430186D">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□否</w:t>
                  </w:r>
                </w:p>
              </w:tc>
              <w:tc>
                <w:tcPr>
                  <w:tcW w:w="1295" w:type="dxa"/>
                  <w:vMerge w:val="restart"/>
                  <w:vAlign w:val="center"/>
                </w:tcPr>
                <w:p w14:paraId="4E655DD9">
                  <w:pPr>
                    <w:pStyle w:val="42"/>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☑企业总排</w:t>
                  </w:r>
                </w:p>
                <w:p w14:paraId="2D3EC014">
                  <w:pPr>
                    <w:pStyle w:val="42"/>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□雨水排放</w:t>
                  </w:r>
                </w:p>
                <w:p w14:paraId="543CB6B0">
                  <w:pPr>
                    <w:pStyle w:val="42"/>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□清净下水排放</w:t>
                  </w:r>
                </w:p>
                <w:p w14:paraId="5B40B2B4">
                  <w:pPr>
                    <w:pStyle w:val="42"/>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□温排水排放</w:t>
                  </w:r>
                </w:p>
                <w:p w14:paraId="07E7CC79">
                  <w:pPr>
                    <w:pStyle w:val="42"/>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□车间或车间处理设施排放口</w:t>
                  </w:r>
                </w:p>
              </w:tc>
            </w:tr>
            <w:tr w14:paraId="6850D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4" w:type="dxa"/>
                  <w:vMerge w:val="continue"/>
                  <w:vAlign w:val="center"/>
                </w:tcPr>
                <w:p w14:paraId="340265A6">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Align w:val="center"/>
                </w:tcPr>
                <w:p w14:paraId="5B36A2EA">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BOD</w:t>
                  </w:r>
                  <w:r>
                    <w:rPr>
                      <w:rFonts w:hint="default" w:ascii="Times New Roman" w:hAnsi="Times New Roman" w:cs="Times New Roman" w:eastAsiaTheme="minorEastAsia"/>
                      <w:color w:val="auto"/>
                      <w:kern w:val="0"/>
                      <w:sz w:val="21"/>
                      <w:szCs w:val="21"/>
                      <w:vertAlign w:val="subscript"/>
                      <w:lang w:val="en-US" w:eastAsia="zh-CN" w:bidi="ar"/>
                    </w:rPr>
                    <w:t>5</w:t>
                  </w:r>
                </w:p>
              </w:tc>
              <w:tc>
                <w:tcPr>
                  <w:tcW w:w="625" w:type="dxa"/>
                  <w:vMerge w:val="continue"/>
                  <w:vAlign w:val="center"/>
                </w:tcPr>
                <w:p w14:paraId="47EE1380">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885" w:type="dxa"/>
                  <w:vMerge w:val="continue"/>
                  <w:vAlign w:val="center"/>
                </w:tcPr>
                <w:p w14:paraId="174B68A6">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708" w:type="dxa"/>
                  <w:vMerge w:val="continue"/>
                  <w:vAlign w:val="center"/>
                </w:tcPr>
                <w:p w14:paraId="029FBB6F">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803" w:type="dxa"/>
                  <w:vMerge w:val="continue"/>
                  <w:vAlign w:val="center"/>
                </w:tcPr>
                <w:p w14:paraId="1425F9BE">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756" w:type="dxa"/>
                  <w:vMerge w:val="continue"/>
                  <w:vAlign w:val="center"/>
                </w:tcPr>
                <w:p w14:paraId="07844CB2">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639" w:type="dxa"/>
                  <w:vMerge w:val="continue"/>
                  <w:vAlign w:val="center"/>
                </w:tcPr>
                <w:p w14:paraId="4F3DD5C0">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872" w:type="dxa"/>
                  <w:vMerge w:val="continue"/>
                  <w:vAlign w:val="center"/>
                </w:tcPr>
                <w:p w14:paraId="4451A244">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1295" w:type="dxa"/>
                  <w:vMerge w:val="continue"/>
                  <w:vAlign w:val="center"/>
                </w:tcPr>
                <w:p w14:paraId="143D36D6">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r w14:paraId="01C23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4" w:type="dxa"/>
                  <w:vMerge w:val="continue"/>
                  <w:vAlign w:val="center"/>
                </w:tcPr>
                <w:p w14:paraId="18EF7759">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Align w:val="center"/>
                </w:tcPr>
                <w:p w14:paraId="1DACC1D7">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SS</w:t>
                  </w:r>
                </w:p>
              </w:tc>
              <w:tc>
                <w:tcPr>
                  <w:tcW w:w="625" w:type="dxa"/>
                  <w:vMerge w:val="continue"/>
                  <w:vAlign w:val="center"/>
                </w:tcPr>
                <w:p w14:paraId="590D961C">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885" w:type="dxa"/>
                  <w:vMerge w:val="continue"/>
                  <w:vAlign w:val="center"/>
                </w:tcPr>
                <w:p w14:paraId="3C79FA71">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708" w:type="dxa"/>
                  <w:vMerge w:val="continue"/>
                  <w:vAlign w:val="center"/>
                </w:tcPr>
                <w:p w14:paraId="6F28133A">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803" w:type="dxa"/>
                  <w:vMerge w:val="continue"/>
                  <w:vAlign w:val="center"/>
                </w:tcPr>
                <w:p w14:paraId="639FED6E">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756" w:type="dxa"/>
                  <w:vMerge w:val="continue"/>
                  <w:vAlign w:val="center"/>
                </w:tcPr>
                <w:p w14:paraId="2CFA89A6">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639" w:type="dxa"/>
                  <w:vMerge w:val="continue"/>
                  <w:vAlign w:val="center"/>
                </w:tcPr>
                <w:p w14:paraId="2055FC4E">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872" w:type="dxa"/>
                  <w:vMerge w:val="continue"/>
                  <w:vAlign w:val="center"/>
                </w:tcPr>
                <w:p w14:paraId="4EBC8C75">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1295" w:type="dxa"/>
                  <w:vMerge w:val="continue"/>
                  <w:vAlign w:val="center"/>
                </w:tcPr>
                <w:p w14:paraId="50453FBE">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r w14:paraId="6D7DD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94" w:type="dxa"/>
                  <w:vMerge w:val="restart"/>
                  <w:vAlign w:val="center"/>
                </w:tcPr>
                <w:p w14:paraId="713E4A07">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车辆清洗废水</w:t>
                  </w:r>
                </w:p>
              </w:tc>
              <w:tc>
                <w:tcPr>
                  <w:tcW w:w="920" w:type="dxa"/>
                  <w:vAlign w:val="center"/>
                </w:tcPr>
                <w:p w14:paraId="663EB518">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szCs w:val="21"/>
                      <w:lang w:val="en-US" w:eastAsia="zh-CN"/>
                    </w:rPr>
                    <w:t>pH（无纲量）</w:t>
                  </w:r>
                </w:p>
              </w:tc>
              <w:tc>
                <w:tcPr>
                  <w:tcW w:w="6583" w:type="dxa"/>
                  <w:gridSpan w:val="8"/>
                  <w:vMerge w:val="restart"/>
                  <w:vAlign w:val="center"/>
                </w:tcPr>
                <w:p w14:paraId="2965C240">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szCs w:val="21"/>
                      <w:lang w:val="en-US" w:eastAsia="zh-CN"/>
                    </w:rPr>
                    <w:t>回用于车辆清洗工序，不外排。执行《城市污水再生利用 工业用水水质》（GB/T 19923-2024）中的洗涤用水标准。</w:t>
                  </w:r>
                </w:p>
              </w:tc>
            </w:tr>
            <w:tr w14:paraId="79B34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4" w:type="dxa"/>
                  <w:vMerge w:val="continue"/>
                  <w:vAlign w:val="center"/>
                </w:tcPr>
                <w:p w14:paraId="79368774">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Align w:val="center"/>
                </w:tcPr>
                <w:p w14:paraId="6B716E8D">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szCs w:val="21"/>
                      <w:lang w:val="en-US" w:eastAsia="zh-CN"/>
                    </w:rPr>
                    <w:t>色度</w:t>
                  </w:r>
                </w:p>
              </w:tc>
              <w:tc>
                <w:tcPr>
                  <w:tcW w:w="6583" w:type="dxa"/>
                  <w:gridSpan w:val="8"/>
                  <w:vMerge w:val="continue"/>
                  <w:vAlign w:val="center"/>
                </w:tcPr>
                <w:p w14:paraId="672EBD48">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r w14:paraId="76120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4" w:type="dxa"/>
                  <w:vMerge w:val="continue"/>
                  <w:vAlign w:val="center"/>
                </w:tcPr>
                <w:p w14:paraId="0D75CA4D">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Align w:val="center"/>
                </w:tcPr>
                <w:p w14:paraId="04DBC400">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szCs w:val="21"/>
                      <w:lang w:val="en-US" w:eastAsia="zh-CN"/>
                    </w:rPr>
                    <w:t>浊度</w:t>
                  </w:r>
                </w:p>
              </w:tc>
              <w:tc>
                <w:tcPr>
                  <w:tcW w:w="6583" w:type="dxa"/>
                  <w:gridSpan w:val="8"/>
                  <w:vMerge w:val="continue"/>
                  <w:vAlign w:val="center"/>
                </w:tcPr>
                <w:p w14:paraId="425EB173">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r w14:paraId="34392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4" w:type="dxa"/>
                  <w:vMerge w:val="continue"/>
                  <w:vAlign w:val="center"/>
                </w:tcPr>
                <w:p w14:paraId="0322E376">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Align w:val="center"/>
                </w:tcPr>
                <w:p w14:paraId="4F8D43EB">
                  <w:pPr>
                    <w:pStyle w:val="42"/>
                    <w:keepNext w:val="0"/>
                    <w:keepLines w:val="0"/>
                    <w:suppressLineNumbers w:val="0"/>
                    <w:spacing w:before="0" w:beforeAutospacing="0" w:after="0" w:afterAutospacing="0"/>
                    <w:ind w:left="0" w:right="0"/>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COD</w:t>
                  </w:r>
                </w:p>
              </w:tc>
              <w:tc>
                <w:tcPr>
                  <w:tcW w:w="6583" w:type="dxa"/>
                  <w:gridSpan w:val="8"/>
                  <w:vMerge w:val="continue"/>
                  <w:vAlign w:val="center"/>
                </w:tcPr>
                <w:p w14:paraId="293F29BA">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r w14:paraId="018DD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4" w:type="dxa"/>
                  <w:vMerge w:val="continue"/>
                  <w:vAlign w:val="center"/>
                </w:tcPr>
                <w:p w14:paraId="07A693FE">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Align w:val="center"/>
                </w:tcPr>
                <w:p w14:paraId="619B99DB">
                  <w:pPr>
                    <w:pStyle w:val="42"/>
                    <w:keepNext w:val="0"/>
                    <w:keepLines w:val="0"/>
                    <w:suppressLineNumbers w:val="0"/>
                    <w:spacing w:before="0" w:beforeAutospacing="0" w:after="0" w:afterAutospacing="0"/>
                    <w:ind w:left="0" w:right="0"/>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BOD</w:t>
                  </w:r>
                  <w:r>
                    <w:rPr>
                      <w:rFonts w:hint="eastAsia" w:ascii="Times New Roman" w:hAnsi="Times New Roman" w:cs="Times New Roman"/>
                      <w:color w:val="auto"/>
                      <w:szCs w:val="21"/>
                      <w:vertAlign w:val="subscript"/>
                      <w:lang w:val="en-US" w:eastAsia="zh-CN"/>
                    </w:rPr>
                    <w:t>5</w:t>
                  </w:r>
                </w:p>
              </w:tc>
              <w:tc>
                <w:tcPr>
                  <w:tcW w:w="6583" w:type="dxa"/>
                  <w:gridSpan w:val="8"/>
                  <w:vMerge w:val="continue"/>
                  <w:vAlign w:val="center"/>
                </w:tcPr>
                <w:p w14:paraId="0BE18937">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r w14:paraId="1DFE4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4" w:type="dxa"/>
                  <w:vMerge w:val="continue"/>
                  <w:vAlign w:val="center"/>
                </w:tcPr>
                <w:p w14:paraId="5385AA63">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Align w:val="center"/>
                </w:tcPr>
                <w:p w14:paraId="3036F008">
                  <w:pPr>
                    <w:pStyle w:val="42"/>
                    <w:keepNext w:val="0"/>
                    <w:keepLines w:val="0"/>
                    <w:suppressLineNumbers w:val="0"/>
                    <w:spacing w:before="0" w:beforeAutospacing="0" w:after="0" w:afterAutospacing="0"/>
                    <w:ind w:left="0" w:right="0"/>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vertAlign w:val="baseline"/>
                      <w:lang w:val="en-US" w:eastAsia="zh-CN"/>
                    </w:rPr>
                    <w:t>氨氮</w:t>
                  </w:r>
                </w:p>
              </w:tc>
              <w:tc>
                <w:tcPr>
                  <w:tcW w:w="6583" w:type="dxa"/>
                  <w:gridSpan w:val="8"/>
                  <w:vMerge w:val="continue"/>
                  <w:vAlign w:val="center"/>
                </w:tcPr>
                <w:p w14:paraId="5CD17DB2">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r w14:paraId="30E0B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4" w:type="dxa"/>
                  <w:vMerge w:val="continue"/>
                  <w:vAlign w:val="center"/>
                </w:tcPr>
                <w:p w14:paraId="773C99C2">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Align w:val="center"/>
                </w:tcPr>
                <w:p w14:paraId="009D0F7E">
                  <w:pPr>
                    <w:pStyle w:val="42"/>
                    <w:keepNext w:val="0"/>
                    <w:keepLines w:val="0"/>
                    <w:suppressLineNumbers w:val="0"/>
                    <w:spacing w:before="0" w:beforeAutospacing="0" w:after="0" w:afterAutospacing="0"/>
                    <w:ind w:left="0" w:right="0"/>
                    <w:jc w:val="center"/>
                    <w:rPr>
                      <w:rFonts w:hint="eastAsia" w:ascii="Times New Roman" w:hAnsi="Times New Roman"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总磷</w:t>
                  </w:r>
                </w:p>
              </w:tc>
              <w:tc>
                <w:tcPr>
                  <w:tcW w:w="6583" w:type="dxa"/>
                  <w:gridSpan w:val="8"/>
                  <w:vMerge w:val="continue"/>
                  <w:vAlign w:val="center"/>
                </w:tcPr>
                <w:p w14:paraId="77315A12">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r w14:paraId="0F188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494" w:type="dxa"/>
                  <w:vMerge w:val="continue"/>
                  <w:vAlign w:val="center"/>
                </w:tcPr>
                <w:p w14:paraId="7657D830">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920" w:type="dxa"/>
                  <w:vAlign w:val="center"/>
                </w:tcPr>
                <w:p w14:paraId="2690D9A6">
                  <w:pPr>
                    <w:pStyle w:val="42"/>
                    <w:keepNext w:val="0"/>
                    <w:keepLines w:val="0"/>
                    <w:suppressLineNumbers w:val="0"/>
                    <w:spacing w:before="0" w:beforeAutospacing="0" w:after="0" w:afterAutospacing="0"/>
                    <w:ind w:left="0" w:right="0"/>
                    <w:jc w:val="center"/>
                    <w:rPr>
                      <w:rFonts w:hint="eastAsia" w:ascii="Times New Roman" w:hAnsi="Times New Roman"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总氮</w:t>
                  </w:r>
                </w:p>
              </w:tc>
              <w:tc>
                <w:tcPr>
                  <w:tcW w:w="6583" w:type="dxa"/>
                  <w:gridSpan w:val="8"/>
                  <w:vMerge w:val="continue"/>
                  <w:vAlign w:val="center"/>
                </w:tcPr>
                <w:p w14:paraId="39804B19">
                  <w:pPr>
                    <w:pStyle w:val="42"/>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r>
          </w:tbl>
          <w:p w14:paraId="5A499CC1">
            <w:pPr>
              <w:pStyle w:val="24"/>
              <w:keepNext w:val="0"/>
              <w:keepLines w:val="0"/>
              <w:numPr>
                <w:ilvl w:val="0"/>
                <w:numId w:val="4"/>
              </w:numPr>
              <w:suppressLineNumbers w:val="0"/>
              <w:adjustRightInd w:val="0"/>
              <w:snapToGrid w:val="0"/>
              <w:spacing w:before="0" w:beforeAutospacing="0" w:after="0" w:afterAutospacing="0" w:line="360" w:lineRule="auto"/>
              <w:ind w:left="0" w:right="0" w:rightChars="0" w:firstLine="482" w:firstLineChars="200"/>
              <w:rPr>
                <w:rFonts w:hint="eastAsia" w:ascii="Times New Roman" w:hAnsi="Times New Roman" w:cs="Times New Roman"/>
                <w:b/>
                <w:bCs/>
                <w:color w:val="auto"/>
                <w:kern w:val="0"/>
                <w:sz w:val="24"/>
                <w:szCs w:val="20"/>
                <w:lang w:val="en-US" w:eastAsia="zh-CN" w:bidi="ar"/>
              </w:rPr>
            </w:pPr>
            <w:r>
              <w:rPr>
                <w:rFonts w:hint="eastAsia" w:ascii="Times New Roman" w:hAnsi="Times New Roman" w:cs="Times New Roman"/>
                <w:b/>
                <w:bCs/>
                <w:color w:val="auto"/>
                <w:kern w:val="0"/>
                <w:sz w:val="24"/>
                <w:szCs w:val="20"/>
                <w:lang w:val="en-US" w:eastAsia="zh-CN" w:bidi="ar"/>
              </w:rPr>
              <w:t>噪声</w:t>
            </w:r>
          </w:p>
          <w:p w14:paraId="67E035A7">
            <w:pPr>
              <w:keepNext w:val="0"/>
              <w:keepLines w:val="0"/>
              <w:suppressLineNumbers w:val="0"/>
              <w:spacing w:before="0" w:beforeAutospacing="0" w:after="0" w:afterAutospacing="0" w:line="360" w:lineRule="auto"/>
              <w:ind w:left="0" w:right="0" w:firstLine="560"/>
              <w:jc w:val="both"/>
              <w:rPr>
                <w:rFonts w:hint="eastAsia" w:ascii="Times New Roman" w:hAnsi="Times New Roman" w:cs="Times New Roman"/>
                <w:color w:val="auto"/>
                <w:kern w:val="0"/>
                <w:sz w:val="24"/>
                <w:szCs w:val="20"/>
                <w:lang w:val="en-US" w:eastAsia="zh-CN" w:bidi="ar"/>
              </w:rPr>
            </w:pPr>
            <w:r>
              <w:rPr>
                <w:rFonts w:hint="eastAsia" w:ascii="Times New Roman" w:hAnsi="Times New Roman" w:cs="Times New Roman"/>
                <w:color w:val="auto"/>
                <w:kern w:val="0"/>
                <w:sz w:val="24"/>
                <w:szCs w:val="20"/>
                <w:lang w:val="en-US" w:eastAsia="zh-CN" w:bidi="ar"/>
              </w:rPr>
              <w:t>本项目噪声为装卸及外运时运输车辆释放的噪声，噪声源强在 70dB(A)~85dB(A)。</w:t>
            </w:r>
          </w:p>
          <w:p w14:paraId="64EE28F6">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1）预测方法</w:t>
            </w:r>
          </w:p>
          <w:p w14:paraId="5489C2EF">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影响噪声从声源到关心点的传播途径特性的主要因素有：距离衰减、建筑物围护结构和遮挡物引起的衰减，各种介质的吸收与反射等。为了简化计算条件，本次噪声计算根据工程特点及周围环境特点，考虑噪声随距离的衰减、遮挡物引起的衰减，未考虑空气吸收的衰减、界面反射作用及建筑物围护结构引起的衰减。</w:t>
            </w:r>
          </w:p>
          <w:p w14:paraId="574E59C7">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2）预测模式</w:t>
            </w:r>
          </w:p>
          <w:p w14:paraId="263551B8">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本评价采用《环境影响评价技术导则 声环境》（HJ2.4-2021）附录A中工业噪声预测计算模式进行预测。</w:t>
            </w:r>
          </w:p>
          <w:p w14:paraId="6C0790DA">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营运期昼间的噪声源可视为点声源，采用点源噪声距离衰减公式进行估算，预测设备噪声在厂界的叠加值。点源噪声距离衰减公式一般形式为：</w:t>
            </w:r>
          </w:p>
          <w:p w14:paraId="6139658B">
            <w:pPr>
              <w:keepNext w:val="0"/>
              <w:keepLines w:val="0"/>
              <w:suppressLineNumbers w:val="0"/>
              <w:spacing w:before="0" w:beforeAutospacing="0" w:after="0" w:afterAutospacing="0" w:line="360" w:lineRule="auto"/>
              <w:ind w:left="0" w:right="0" w:firstLine="560"/>
              <w:jc w:val="center"/>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drawing>
                <wp:inline distT="0" distB="0" distL="114300" distR="114300">
                  <wp:extent cx="2208530" cy="414655"/>
                  <wp:effectExtent l="0" t="0" r="1270" b="4445"/>
                  <wp:docPr id="38"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08"/>
                          <pic:cNvPicPr>
                            <a:picLocks noChangeAspect="1"/>
                          </pic:cNvPicPr>
                        </pic:nvPicPr>
                        <pic:blipFill>
                          <a:blip r:embed="rId18"/>
                          <a:stretch>
                            <a:fillRect/>
                          </a:stretch>
                        </pic:blipFill>
                        <pic:spPr>
                          <a:xfrm>
                            <a:off x="0" y="0"/>
                            <a:ext cx="2208530" cy="414655"/>
                          </a:xfrm>
                          <a:prstGeom prst="rect">
                            <a:avLst/>
                          </a:prstGeom>
                          <a:noFill/>
                          <a:ln>
                            <a:noFill/>
                          </a:ln>
                        </pic:spPr>
                      </pic:pic>
                    </a:graphicData>
                  </a:graphic>
                </wp:inline>
              </w:drawing>
            </w:r>
          </w:p>
          <w:p w14:paraId="622F7784">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式中：Lpi—离声源距离r处的声压级dB(A)；</w:t>
            </w:r>
          </w:p>
          <w:p w14:paraId="01AFEB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200" w:firstLineChars="500"/>
              <w:jc w:val="left"/>
              <w:textAlignment w:val="auto"/>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a—衰减常数dB(A)取值a=0.0027；</w:t>
            </w:r>
          </w:p>
          <w:p w14:paraId="3957B7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200" w:firstLineChars="500"/>
              <w:jc w:val="left"/>
              <w:textAlignment w:val="auto"/>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r—离声源的距离（m）；</w:t>
            </w:r>
          </w:p>
          <w:p w14:paraId="75B081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200" w:firstLineChars="500"/>
              <w:jc w:val="left"/>
              <w:textAlignment w:val="auto"/>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r0—参考点距离（m）；</w:t>
            </w:r>
          </w:p>
          <w:p w14:paraId="62165B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200" w:firstLineChars="500"/>
              <w:jc w:val="left"/>
              <w:textAlignment w:val="auto"/>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L0—离声源距离r0处的声压级dB(A)。</w:t>
            </w:r>
          </w:p>
          <w:p w14:paraId="72E89DA9">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多个噪声源叠加后的总声压级，按下式计算：</w:t>
            </w:r>
          </w:p>
          <w:p w14:paraId="7DD827E3">
            <w:pPr>
              <w:keepNext w:val="0"/>
              <w:keepLines w:val="0"/>
              <w:suppressLineNumbers w:val="0"/>
              <w:spacing w:before="0" w:beforeAutospacing="0" w:after="0" w:afterAutospacing="0" w:line="360" w:lineRule="auto"/>
              <w:ind w:left="0" w:right="0" w:firstLine="560"/>
              <w:jc w:val="center"/>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drawing>
                <wp:inline distT="0" distB="0" distL="114300" distR="114300">
                  <wp:extent cx="1695450" cy="590550"/>
                  <wp:effectExtent l="0" t="0" r="0" b="0"/>
                  <wp:docPr id="39"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09"/>
                          <pic:cNvPicPr>
                            <a:picLocks noChangeAspect="1"/>
                          </pic:cNvPicPr>
                        </pic:nvPicPr>
                        <pic:blipFill>
                          <a:blip r:embed="rId19"/>
                          <a:stretch>
                            <a:fillRect/>
                          </a:stretch>
                        </pic:blipFill>
                        <pic:spPr>
                          <a:xfrm>
                            <a:off x="0" y="0"/>
                            <a:ext cx="1695450" cy="590550"/>
                          </a:xfrm>
                          <a:prstGeom prst="rect">
                            <a:avLst/>
                          </a:prstGeom>
                          <a:noFill/>
                          <a:ln>
                            <a:noFill/>
                          </a:ln>
                        </pic:spPr>
                      </pic:pic>
                    </a:graphicData>
                  </a:graphic>
                </wp:inline>
              </w:drawing>
            </w:r>
          </w:p>
          <w:p w14:paraId="304078FC">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式中：Lt—某点总的声压级dB(A)；</w:t>
            </w:r>
          </w:p>
          <w:p w14:paraId="7554C2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200" w:firstLineChars="500"/>
              <w:jc w:val="both"/>
              <w:textAlignment w:val="auto"/>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n—声源总数；</w:t>
            </w:r>
          </w:p>
          <w:p w14:paraId="71DB61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200" w:firstLineChars="500"/>
              <w:jc w:val="both"/>
              <w:textAlignment w:val="auto"/>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LPi—第i个声源对某点产生的声压级dB(A)。</w:t>
            </w:r>
          </w:p>
          <w:p w14:paraId="38FD7616">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color w:val="auto"/>
                <w:kern w:val="0"/>
                <w:sz w:val="24"/>
                <w:szCs w:val="20"/>
                <w:lang w:val="en-US" w:eastAsia="zh-CN" w:bidi="ar"/>
              </w:rPr>
            </w:pPr>
            <w:r>
              <w:rPr>
                <w:rFonts w:hint="default" w:ascii="Times New Roman" w:hAnsi="Times New Roman" w:cs="Times New Roman"/>
                <w:color w:val="auto"/>
                <w:kern w:val="0"/>
                <w:sz w:val="24"/>
                <w:szCs w:val="20"/>
                <w:lang w:val="en-US" w:eastAsia="zh-CN" w:bidi="ar"/>
              </w:rPr>
              <w:t>依据营运期机械的噪声源强，结合项目所在区域的环境特征，采用上述公式进行预测，考虑采取减噪措施、门窗墙体隔声降噪及自然衰减因素，设备噪声贡献值及减振隔声降噪后的源强详见表4-</w:t>
            </w:r>
            <w:r>
              <w:rPr>
                <w:rFonts w:hint="eastAsia" w:ascii="Times New Roman" w:hAnsi="Times New Roman" w:cs="Times New Roman"/>
                <w:color w:val="auto"/>
                <w:kern w:val="0"/>
                <w:sz w:val="24"/>
                <w:szCs w:val="20"/>
                <w:lang w:val="en-US" w:eastAsia="zh-CN" w:bidi="ar"/>
              </w:rPr>
              <w:t>7</w:t>
            </w:r>
            <w:r>
              <w:rPr>
                <w:rFonts w:hint="default" w:ascii="Times New Roman" w:hAnsi="Times New Roman" w:cs="Times New Roman"/>
                <w:color w:val="auto"/>
                <w:kern w:val="0"/>
                <w:sz w:val="24"/>
                <w:szCs w:val="20"/>
                <w:lang w:val="en-US" w:eastAsia="zh-CN" w:bidi="ar"/>
              </w:rPr>
              <w:t>，本项目边界噪声预测结果见表4-</w:t>
            </w:r>
            <w:r>
              <w:rPr>
                <w:rFonts w:hint="eastAsia" w:ascii="Times New Roman" w:hAnsi="Times New Roman" w:cs="Times New Roman"/>
                <w:color w:val="auto"/>
                <w:kern w:val="0"/>
                <w:sz w:val="24"/>
                <w:szCs w:val="20"/>
                <w:lang w:val="en-US" w:eastAsia="zh-CN" w:bidi="ar"/>
              </w:rPr>
              <w:t>8</w:t>
            </w:r>
            <w:r>
              <w:rPr>
                <w:rFonts w:hint="default" w:ascii="Times New Roman" w:hAnsi="Times New Roman" w:cs="Times New Roman"/>
                <w:color w:val="auto"/>
                <w:kern w:val="0"/>
                <w:sz w:val="24"/>
                <w:szCs w:val="20"/>
                <w:lang w:val="en-US" w:eastAsia="zh-CN" w:bidi="ar"/>
              </w:rPr>
              <w:t>。</w:t>
            </w:r>
          </w:p>
          <w:p w14:paraId="378A52C1">
            <w:pPr>
              <w:pStyle w:val="2"/>
              <w:keepLines w:val="0"/>
              <w:suppressLineNumbers w:val="0"/>
              <w:spacing w:beforeAutospacing="0" w:afterAutospacing="0"/>
              <w:ind w:right="0"/>
              <w:rPr>
                <w:rFonts w:hint="default" w:ascii="Times New Roman" w:hAnsi="Times New Roman" w:cs="Times New Roman"/>
                <w:color w:val="auto"/>
                <w:kern w:val="0"/>
                <w:sz w:val="24"/>
                <w:szCs w:val="20"/>
                <w:lang w:val="en-US" w:eastAsia="zh-CN" w:bidi="ar"/>
              </w:rPr>
            </w:pPr>
          </w:p>
          <w:p w14:paraId="6757AA36">
            <w:pPr>
              <w:keepNext w:val="0"/>
              <w:keepLines w:val="0"/>
              <w:suppressLineNumbers w:val="0"/>
              <w:spacing w:before="0" w:beforeAutospacing="0" w:after="0" w:afterAutospacing="0"/>
              <w:ind w:left="0" w:right="0"/>
              <w:rPr>
                <w:rFonts w:hint="default" w:ascii="Times New Roman" w:hAnsi="Times New Roman" w:cs="Times New Roman"/>
                <w:color w:val="auto"/>
                <w:kern w:val="0"/>
                <w:sz w:val="24"/>
                <w:szCs w:val="20"/>
                <w:lang w:val="en-US" w:eastAsia="zh-CN" w:bidi="ar"/>
              </w:rPr>
            </w:pPr>
          </w:p>
          <w:p w14:paraId="429977D8">
            <w:pPr>
              <w:pStyle w:val="2"/>
              <w:keepLines w:val="0"/>
              <w:suppressLineNumbers w:val="0"/>
              <w:spacing w:beforeAutospacing="0" w:afterAutospacing="0"/>
              <w:ind w:right="0"/>
              <w:rPr>
                <w:rFonts w:hint="default" w:ascii="Times New Roman" w:hAnsi="Times New Roman" w:cs="Times New Roman"/>
                <w:color w:val="auto"/>
                <w:kern w:val="0"/>
                <w:sz w:val="24"/>
                <w:szCs w:val="20"/>
                <w:lang w:val="en-US" w:eastAsia="zh-CN" w:bidi="ar"/>
              </w:rPr>
            </w:pPr>
          </w:p>
          <w:p w14:paraId="5D4F3720">
            <w:pPr>
              <w:pStyle w:val="2"/>
              <w:keepLines w:val="0"/>
              <w:suppressLineNumbers w:val="0"/>
              <w:spacing w:beforeAutospacing="0" w:afterAutospacing="0"/>
              <w:ind w:left="0" w:leftChars="0" w:right="0" w:firstLine="0" w:firstLineChars="0"/>
              <w:rPr>
                <w:rFonts w:hint="default"/>
                <w:lang w:val="en-US" w:eastAsia="zh-CN"/>
              </w:rPr>
            </w:pPr>
          </w:p>
          <w:p w14:paraId="30A26C86">
            <w:pPr>
              <w:pStyle w:val="42"/>
              <w:keepNext w:val="0"/>
              <w:keepLines w:val="0"/>
              <w:suppressLineNumbers w:val="0"/>
              <w:spacing w:before="0" w:beforeAutospacing="0" w:after="0" w:afterAutospacing="0"/>
              <w:ind w:left="0" w:right="0"/>
              <w:jc w:val="center"/>
              <w:rPr>
                <w:rFonts w:hint="eastAsia" w:cs="Times New Roman" w:asciiTheme="minorHAnsi" w:hAnsiTheme="minorHAnsi" w:eastAsiaTheme="minorEastAsia"/>
                <w:b/>
                <w:bCs/>
                <w:color w:val="auto"/>
                <w:kern w:val="0"/>
                <w:sz w:val="21"/>
                <w:szCs w:val="21"/>
                <w:lang w:val="en-US" w:eastAsia="zh-CN" w:bidi="ar"/>
              </w:rPr>
            </w:pPr>
            <w:r>
              <w:rPr>
                <w:rFonts w:hint="default" w:cs="Times New Roman" w:asciiTheme="minorHAnsi" w:hAnsiTheme="minorHAnsi" w:eastAsiaTheme="minorEastAsia"/>
                <w:b/>
                <w:bCs/>
                <w:color w:val="auto"/>
                <w:kern w:val="0"/>
                <w:sz w:val="21"/>
                <w:szCs w:val="21"/>
                <w:lang w:val="en-US" w:eastAsia="zh-CN" w:bidi="ar"/>
              </w:rPr>
              <w:t>表</w:t>
            </w:r>
            <w:r>
              <w:rPr>
                <w:rFonts w:hint="eastAsia" w:cs="Times New Roman" w:asciiTheme="minorHAnsi" w:hAnsiTheme="minorHAnsi" w:eastAsiaTheme="minorEastAsia"/>
                <w:b/>
                <w:bCs/>
                <w:color w:val="auto"/>
                <w:kern w:val="0"/>
                <w:sz w:val="21"/>
                <w:szCs w:val="21"/>
                <w:lang w:val="en-US" w:eastAsia="zh-CN" w:bidi="ar"/>
              </w:rPr>
              <w:t>4</w:t>
            </w:r>
            <w:r>
              <w:rPr>
                <w:rFonts w:hint="default" w:cs="Times New Roman" w:asciiTheme="minorHAnsi" w:hAnsiTheme="minorHAnsi" w:eastAsiaTheme="minorEastAsia"/>
                <w:b/>
                <w:bCs/>
                <w:color w:val="auto"/>
                <w:kern w:val="0"/>
                <w:sz w:val="21"/>
                <w:szCs w:val="21"/>
                <w:lang w:val="en-US" w:eastAsia="zh-CN" w:bidi="ar"/>
              </w:rPr>
              <w:t>-</w:t>
            </w:r>
            <w:r>
              <w:rPr>
                <w:rFonts w:hint="eastAsia" w:cs="Times New Roman" w:asciiTheme="minorHAnsi"/>
                <w:b/>
                <w:bCs/>
                <w:color w:val="auto"/>
                <w:kern w:val="0"/>
                <w:sz w:val="21"/>
                <w:szCs w:val="21"/>
                <w:lang w:val="en-US" w:eastAsia="zh-CN" w:bidi="ar"/>
              </w:rPr>
              <w:t>8</w:t>
            </w:r>
            <w:r>
              <w:rPr>
                <w:rFonts w:hint="default" w:cs="Times New Roman" w:asciiTheme="minorHAnsi" w:hAnsiTheme="minorHAnsi" w:eastAsiaTheme="minorEastAsia"/>
                <w:b/>
                <w:bCs/>
                <w:color w:val="auto"/>
                <w:kern w:val="0"/>
                <w:sz w:val="21"/>
                <w:szCs w:val="21"/>
                <w:lang w:val="en-US" w:eastAsia="zh-CN" w:bidi="ar"/>
              </w:rPr>
              <w:t xml:space="preserve"> </w:t>
            </w:r>
            <w:r>
              <w:rPr>
                <w:rFonts w:hint="eastAsia" w:cs="Times New Roman" w:asciiTheme="minorHAnsi" w:hAnsiTheme="minorHAnsi" w:eastAsiaTheme="minorEastAsia"/>
                <w:b/>
                <w:bCs/>
                <w:color w:val="auto"/>
                <w:kern w:val="0"/>
                <w:sz w:val="21"/>
                <w:szCs w:val="21"/>
                <w:lang w:val="en-US" w:eastAsia="zh-CN" w:bidi="ar"/>
              </w:rPr>
              <w:t>本</w:t>
            </w:r>
            <w:r>
              <w:rPr>
                <w:rFonts w:hint="default" w:cs="Times New Roman" w:asciiTheme="minorHAnsi" w:hAnsiTheme="minorHAnsi" w:eastAsiaTheme="minorEastAsia"/>
                <w:b/>
                <w:bCs/>
                <w:color w:val="auto"/>
                <w:kern w:val="0"/>
                <w:sz w:val="21"/>
                <w:szCs w:val="21"/>
                <w:lang w:val="en-US" w:eastAsia="zh-CN" w:bidi="ar"/>
              </w:rPr>
              <w:t>项目设备噪声贡献值及减振隔声降噪后的源强</w:t>
            </w:r>
            <w:r>
              <w:rPr>
                <w:rFonts w:hint="eastAsia" w:cs="Times New Roman" w:asciiTheme="minorHAnsi" w:hAnsiTheme="minorHAnsi" w:eastAsiaTheme="minorEastAsia"/>
                <w:b/>
                <w:bCs/>
                <w:color w:val="auto"/>
                <w:kern w:val="0"/>
                <w:sz w:val="21"/>
                <w:szCs w:val="21"/>
                <w:lang w:val="en-US" w:eastAsia="zh-CN" w:bidi="ar"/>
              </w:rPr>
              <w:t>一览表</w:t>
            </w:r>
          </w:p>
          <w:tbl>
            <w:tblPr>
              <w:tblStyle w:val="36"/>
              <w:tblpPr w:leftFromText="180" w:rightFromText="180" w:vertAnchor="text" w:horzAnchor="page" w:tblpXSpec="center" w:tblpY="45"/>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630"/>
              <w:gridCol w:w="418"/>
              <w:gridCol w:w="686"/>
              <w:gridCol w:w="741"/>
              <w:gridCol w:w="1005"/>
              <w:gridCol w:w="1005"/>
              <w:gridCol w:w="1080"/>
              <w:gridCol w:w="1215"/>
              <w:gridCol w:w="817"/>
            </w:tblGrid>
            <w:tr w14:paraId="705F7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381" w:type="dxa"/>
                  <w:vAlign w:val="center"/>
                </w:tcPr>
                <w:p w14:paraId="44F53358">
                  <w:pPr>
                    <w:pStyle w:val="73"/>
                    <w:keepNext w:val="0"/>
                    <w:keepLines w:val="0"/>
                    <w:suppressLineNumbers w:val="0"/>
                    <w:tabs>
                      <w:tab w:val="right" w:pos="0"/>
                    </w:tabs>
                    <w:spacing w:before="24" w:beforeAutospacing="0" w:after="24" w:afterAutospacing="0" w:line="240" w:lineRule="auto"/>
                    <w:ind w:left="0" w:leftChars="0" w:right="0" w:rightChars="0" w:firstLine="0" w:firstLineChars="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序号</w:t>
                  </w:r>
                </w:p>
              </w:tc>
              <w:tc>
                <w:tcPr>
                  <w:tcW w:w="630" w:type="dxa"/>
                  <w:vAlign w:val="center"/>
                </w:tcPr>
                <w:p w14:paraId="41E0CA64">
                  <w:pPr>
                    <w:pStyle w:val="73"/>
                    <w:keepNext w:val="0"/>
                    <w:keepLines w:val="0"/>
                    <w:suppressLineNumbers w:val="0"/>
                    <w:tabs>
                      <w:tab w:val="right" w:pos="0"/>
                    </w:tabs>
                    <w:spacing w:before="24" w:beforeAutospacing="0" w:after="24" w:afterAutospacing="0" w:line="240" w:lineRule="auto"/>
                    <w:ind w:left="0" w:leftChars="0" w:right="0" w:rightChars="0" w:firstLine="0" w:firstLineChars="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建筑物名称</w:t>
                  </w:r>
                </w:p>
              </w:tc>
              <w:tc>
                <w:tcPr>
                  <w:tcW w:w="418" w:type="dxa"/>
                  <w:vAlign w:val="center"/>
                </w:tcPr>
                <w:p w14:paraId="3C684324">
                  <w:pPr>
                    <w:pStyle w:val="73"/>
                    <w:keepNext w:val="0"/>
                    <w:keepLines w:val="0"/>
                    <w:suppressLineNumbers w:val="0"/>
                    <w:tabs>
                      <w:tab w:val="right" w:pos="0"/>
                    </w:tabs>
                    <w:spacing w:before="24" w:beforeAutospacing="0" w:after="24" w:afterAutospacing="0" w:line="240" w:lineRule="auto"/>
                    <w:ind w:left="0" w:leftChars="0" w:right="0" w:rightChars="0" w:firstLine="0" w:firstLineChars="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设备名称</w:t>
                  </w:r>
                </w:p>
              </w:tc>
              <w:tc>
                <w:tcPr>
                  <w:tcW w:w="686" w:type="dxa"/>
                  <w:vAlign w:val="center"/>
                </w:tcPr>
                <w:p w14:paraId="2273CC3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设备型号</w:t>
                  </w:r>
                </w:p>
              </w:tc>
              <w:tc>
                <w:tcPr>
                  <w:tcW w:w="741" w:type="dxa"/>
                  <w:vAlign w:val="center"/>
                </w:tcPr>
                <w:p w14:paraId="7C4CA7E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声源源强dB（A）</w:t>
                  </w:r>
                </w:p>
              </w:tc>
              <w:tc>
                <w:tcPr>
                  <w:tcW w:w="1005" w:type="dxa"/>
                  <w:vAlign w:val="center"/>
                </w:tcPr>
                <w:p w14:paraId="7D13528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声源控制措施</w:t>
                  </w:r>
                </w:p>
              </w:tc>
              <w:tc>
                <w:tcPr>
                  <w:tcW w:w="1005" w:type="dxa"/>
                  <w:vAlign w:val="center"/>
                </w:tcPr>
                <w:p w14:paraId="28EB557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减震、隔音降噪量dB（A）</w:t>
                  </w:r>
                </w:p>
              </w:tc>
              <w:tc>
                <w:tcPr>
                  <w:tcW w:w="1080" w:type="dxa"/>
                  <w:vAlign w:val="center"/>
                </w:tcPr>
                <w:p w14:paraId="2DB4571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厂</w:t>
                  </w:r>
                  <w:r>
                    <w:rPr>
                      <w:rFonts w:hint="default" w:ascii="Times New Roman" w:hAnsi="Times New Roman" w:cs="Times New Roman" w:eastAsiaTheme="minorEastAsia"/>
                      <w:color w:val="auto"/>
                      <w:kern w:val="0"/>
                      <w:sz w:val="21"/>
                      <w:szCs w:val="21"/>
                      <w:lang w:val="en-US" w:eastAsia="zh-CN" w:bidi="ar"/>
                    </w:rPr>
                    <w:t>内综合噪声级dB（A）</w:t>
                  </w:r>
                </w:p>
              </w:tc>
              <w:tc>
                <w:tcPr>
                  <w:tcW w:w="1215" w:type="dxa"/>
                  <w:vAlign w:val="center"/>
                </w:tcPr>
                <w:p w14:paraId="4E75B91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厂</w:t>
                  </w:r>
                  <w:r>
                    <w:rPr>
                      <w:rFonts w:hint="default" w:ascii="Times New Roman" w:hAnsi="Times New Roman" w:cs="Times New Roman" w:eastAsiaTheme="minorEastAsia"/>
                      <w:color w:val="auto"/>
                      <w:kern w:val="0"/>
                      <w:sz w:val="21"/>
                      <w:szCs w:val="21"/>
                      <w:lang w:val="en-US" w:eastAsia="zh-CN" w:bidi="ar"/>
                    </w:rPr>
                    <w:t>外减振隔声降噪后噪声级dB（A）</w:t>
                  </w:r>
                </w:p>
              </w:tc>
              <w:tc>
                <w:tcPr>
                  <w:tcW w:w="817" w:type="dxa"/>
                  <w:shd w:val="clear" w:color="auto" w:fill="auto"/>
                  <w:vAlign w:val="center"/>
                </w:tcPr>
                <w:p w14:paraId="3C6E810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运行时</w:t>
                  </w:r>
                  <w:r>
                    <w:rPr>
                      <w:rFonts w:hint="eastAsia" w:ascii="Times New Roman" w:hAnsi="Times New Roman" w:cs="Times New Roman"/>
                      <w:color w:val="auto"/>
                      <w:kern w:val="0"/>
                      <w:sz w:val="21"/>
                      <w:szCs w:val="21"/>
                      <w:lang w:val="en-US" w:eastAsia="zh-CN" w:bidi="ar"/>
                    </w:rPr>
                    <w:t>间/h</w:t>
                  </w:r>
                </w:p>
              </w:tc>
            </w:tr>
            <w:tr w14:paraId="1728E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381" w:type="dxa"/>
                  <w:vMerge w:val="restart"/>
                  <w:vAlign w:val="center"/>
                </w:tcPr>
                <w:p w14:paraId="551D0FB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1</w:t>
                  </w:r>
                </w:p>
              </w:tc>
              <w:tc>
                <w:tcPr>
                  <w:tcW w:w="630" w:type="dxa"/>
                  <w:vMerge w:val="restart"/>
                  <w:vAlign w:val="center"/>
                </w:tcPr>
                <w:p w14:paraId="3A183B4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建筑垃圾堆场</w:t>
                  </w:r>
                </w:p>
              </w:tc>
              <w:tc>
                <w:tcPr>
                  <w:tcW w:w="418" w:type="dxa"/>
                  <w:vAlign w:val="center"/>
                </w:tcPr>
                <w:p w14:paraId="228E015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勾机</w:t>
                  </w:r>
                </w:p>
              </w:tc>
              <w:tc>
                <w:tcPr>
                  <w:tcW w:w="686" w:type="dxa"/>
                  <w:vAlign w:val="center"/>
                </w:tcPr>
                <w:p w14:paraId="3716E37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w:t>
                  </w:r>
                </w:p>
              </w:tc>
              <w:tc>
                <w:tcPr>
                  <w:tcW w:w="741" w:type="dxa"/>
                  <w:vAlign w:val="center"/>
                </w:tcPr>
                <w:p w14:paraId="4F91CE84">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70</w:t>
                  </w:r>
                </w:p>
              </w:tc>
              <w:tc>
                <w:tcPr>
                  <w:tcW w:w="1005" w:type="dxa"/>
                  <w:vAlign w:val="center"/>
                </w:tcPr>
                <w:p w14:paraId="5EE9100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基础减震</w:t>
                  </w:r>
                  <w:r>
                    <w:rPr>
                      <w:rFonts w:hint="eastAsia" w:ascii="Times New Roman" w:hAnsi="Times New Roman" w:cs="Times New Roman"/>
                      <w:color w:val="auto"/>
                      <w:kern w:val="0"/>
                      <w:sz w:val="21"/>
                      <w:szCs w:val="21"/>
                      <w:lang w:val="en-US" w:eastAsia="zh-CN" w:bidi="ar"/>
                    </w:rPr>
                    <w:t>、移动式隔声屏障</w:t>
                  </w:r>
                </w:p>
              </w:tc>
              <w:tc>
                <w:tcPr>
                  <w:tcW w:w="1005" w:type="dxa"/>
                  <w:vMerge w:val="restart"/>
                  <w:vAlign w:val="center"/>
                </w:tcPr>
                <w:p w14:paraId="5AEDFA8F">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25</w:t>
                  </w:r>
                </w:p>
              </w:tc>
              <w:tc>
                <w:tcPr>
                  <w:tcW w:w="1080" w:type="dxa"/>
                  <w:vMerge w:val="restart"/>
                  <w:vAlign w:val="center"/>
                </w:tcPr>
                <w:p w14:paraId="0FA0EEDB">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86.3</w:t>
                  </w:r>
                </w:p>
              </w:tc>
              <w:tc>
                <w:tcPr>
                  <w:tcW w:w="1215" w:type="dxa"/>
                  <w:vMerge w:val="restart"/>
                  <w:vAlign w:val="center"/>
                </w:tcPr>
                <w:p w14:paraId="5A6BD30E">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61.3</w:t>
                  </w:r>
                </w:p>
              </w:tc>
              <w:tc>
                <w:tcPr>
                  <w:tcW w:w="817" w:type="dxa"/>
                  <w:shd w:val="clear" w:color="auto" w:fill="auto"/>
                  <w:vAlign w:val="center"/>
                </w:tcPr>
                <w:p w14:paraId="10D82C24">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8</w:t>
                  </w:r>
                </w:p>
              </w:tc>
            </w:tr>
            <w:tr w14:paraId="770DE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381" w:type="dxa"/>
                  <w:vMerge w:val="continue"/>
                  <w:vAlign w:val="center"/>
                </w:tcPr>
                <w:p w14:paraId="430C40A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630" w:type="dxa"/>
                  <w:vMerge w:val="continue"/>
                  <w:vAlign w:val="center"/>
                </w:tcPr>
                <w:p w14:paraId="39E4BAD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418" w:type="dxa"/>
                  <w:vAlign w:val="center"/>
                </w:tcPr>
                <w:p w14:paraId="47D9FCD7">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铲车</w:t>
                  </w:r>
                </w:p>
              </w:tc>
              <w:tc>
                <w:tcPr>
                  <w:tcW w:w="686" w:type="dxa"/>
                  <w:vAlign w:val="center"/>
                </w:tcPr>
                <w:p w14:paraId="3389EE90">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w:t>
                  </w:r>
                </w:p>
              </w:tc>
              <w:tc>
                <w:tcPr>
                  <w:tcW w:w="741" w:type="dxa"/>
                  <w:vAlign w:val="center"/>
                </w:tcPr>
                <w:p w14:paraId="3C6CEEB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80</w:t>
                  </w:r>
                </w:p>
              </w:tc>
              <w:tc>
                <w:tcPr>
                  <w:tcW w:w="1005" w:type="dxa"/>
                  <w:shd w:val="clear" w:color="auto" w:fill="auto"/>
                  <w:vAlign w:val="center"/>
                </w:tcPr>
                <w:p w14:paraId="39655F8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基础减震</w:t>
                  </w:r>
                  <w:r>
                    <w:rPr>
                      <w:rFonts w:hint="eastAsia" w:ascii="Times New Roman" w:hAnsi="Times New Roman" w:cs="Times New Roman"/>
                      <w:color w:val="auto"/>
                      <w:kern w:val="0"/>
                      <w:sz w:val="21"/>
                      <w:szCs w:val="21"/>
                      <w:lang w:val="en-US" w:eastAsia="zh-CN" w:bidi="ar"/>
                    </w:rPr>
                    <w:t>、移动式隔声屏障</w:t>
                  </w:r>
                </w:p>
              </w:tc>
              <w:tc>
                <w:tcPr>
                  <w:tcW w:w="1005" w:type="dxa"/>
                  <w:vMerge w:val="continue"/>
                  <w:shd w:val="clear" w:color="auto" w:fill="auto"/>
                  <w:vAlign w:val="center"/>
                </w:tcPr>
                <w:p w14:paraId="1E0717E1">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bidi="ar"/>
                    </w:rPr>
                  </w:pPr>
                </w:p>
              </w:tc>
              <w:tc>
                <w:tcPr>
                  <w:tcW w:w="1080" w:type="dxa"/>
                  <w:vMerge w:val="continue"/>
                  <w:shd w:val="clear" w:color="auto" w:fill="auto"/>
                  <w:vAlign w:val="center"/>
                </w:tcPr>
                <w:p w14:paraId="2902587F">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bidi="ar"/>
                    </w:rPr>
                  </w:pPr>
                </w:p>
              </w:tc>
              <w:tc>
                <w:tcPr>
                  <w:tcW w:w="1215" w:type="dxa"/>
                  <w:vMerge w:val="continue"/>
                  <w:shd w:val="clear" w:color="auto" w:fill="auto"/>
                  <w:vAlign w:val="center"/>
                </w:tcPr>
                <w:p w14:paraId="076CB3F6">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bidi="ar"/>
                    </w:rPr>
                  </w:pPr>
                </w:p>
              </w:tc>
              <w:tc>
                <w:tcPr>
                  <w:tcW w:w="817" w:type="dxa"/>
                  <w:shd w:val="clear" w:color="auto" w:fill="auto"/>
                  <w:vAlign w:val="center"/>
                </w:tcPr>
                <w:p w14:paraId="5EC66BD1">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8</w:t>
                  </w:r>
                </w:p>
              </w:tc>
            </w:tr>
            <w:tr w14:paraId="446FF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381" w:type="dxa"/>
                  <w:vMerge w:val="continue"/>
                  <w:vAlign w:val="center"/>
                </w:tcPr>
                <w:p w14:paraId="1ED760B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630" w:type="dxa"/>
                  <w:vMerge w:val="continue"/>
                  <w:vAlign w:val="center"/>
                </w:tcPr>
                <w:p w14:paraId="29A562F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p>
              </w:tc>
              <w:tc>
                <w:tcPr>
                  <w:tcW w:w="418" w:type="dxa"/>
                  <w:vAlign w:val="center"/>
                </w:tcPr>
                <w:p w14:paraId="611F0AA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运输车</w:t>
                  </w:r>
                </w:p>
              </w:tc>
              <w:tc>
                <w:tcPr>
                  <w:tcW w:w="686" w:type="dxa"/>
                  <w:vAlign w:val="center"/>
                </w:tcPr>
                <w:p w14:paraId="1D3B0E8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w:t>
                  </w:r>
                </w:p>
              </w:tc>
              <w:tc>
                <w:tcPr>
                  <w:tcW w:w="741" w:type="dxa"/>
                  <w:vAlign w:val="center"/>
                </w:tcPr>
                <w:p w14:paraId="0AFA2D15">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85</w:t>
                  </w:r>
                </w:p>
              </w:tc>
              <w:tc>
                <w:tcPr>
                  <w:tcW w:w="1005" w:type="dxa"/>
                  <w:shd w:val="clear" w:color="auto" w:fill="auto"/>
                  <w:vAlign w:val="center"/>
                </w:tcPr>
                <w:p w14:paraId="0BD7F78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基础减震</w:t>
                  </w:r>
                  <w:r>
                    <w:rPr>
                      <w:rFonts w:hint="eastAsia" w:ascii="Times New Roman" w:hAnsi="Times New Roman" w:cs="Times New Roman"/>
                      <w:color w:val="auto"/>
                      <w:kern w:val="0"/>
                      <w:sz w:val="21"/>
                      <w:szCs w:val="21"/>
                      <w:lang w:val="en-US" w:eastAsia="zh-CN" w:bidi="ar"/>
                    </w:rPr>
                    <w:t>、移动式隔声屏障</w:t>
                  </w:r>
                </w:p>
              </w:tc>
              <w:tc>
                <w:tcPr>
                  <w:tcW w:w="1005" w:type="dxa"/>
                  <w:vMerge w:val="continue"/>
                  <w:shd w:val="clear" w:color="auto" w:fill="auto"/>
                  <w:vAlign w:val="center"/>
                </w:tcPr>
                <w:p w14:paraId="702F2B96">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bidi="ar"/>
                    </w:rPr>
                  </w:pPr>
                </w:p>
              </w:tc>
              <w:tc>
                <w:tcPr>
                  <w:tcW w:w="1080" w:type="dxa"/>
                  <w:vMerge w:val="continue"/>
                  <w:shd w:val="clear" w:color="auto" w:fill="auto"/>
                  <w:vAlign w:val="center"/>
                </w:tcPr>
                <w:p w14:paraId="54758509">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bidi="ar"/>
                    </w:rPr>
                  </w:pPr>
                </w:p>
              </w:tc>
              <w:tc>
                <w:tcPr>
                  <w:tcW w:w="1215" w:type="dxa"/>
                  <w:vMerge w:val="continue"/>
                  <w:shd w:val="clear" w:color="auto" w:fill="auto"/>
                  <w:vAlign w:val="center"/>
                </w:tcPr>
                <w:p w14:paraId="30957FA6">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bidi="ar"/>
                    </w:rPr>
                  </w:pPr>
                </w:p>
              </w:tc>
              <w:tc>
                <w:tcPr>
                  <w:tcW w:w="817" w:type="dxa"/>
                  <w:shd w:val="clear" w:color="auto" w:fill="auto"/>
                  <w:vAlign w:val="center"/>
                </w:tcPr>
                <w:p w14:paraId="38EF0226">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8</w:t>
                  </w:r>
                </w:p>
              </w:tc>
            </w:tr>
          </w:tbl>
          <w:p w14:paraId="45DC1E9D">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eastAsiaTheme="minorEastAsia"/>
                <w:b/>
                <w:bCs/>
                <w:color w:val="auto"/>
                <w:kern w:val="0"/>
                <w:sz w:val="21"/>
                <w:szCs w:val="21"/>
                <w:lang w:val="en-US" w:eastAsia="zh-CN" w:bidi="ar"/>
              </w:rPr>
            </w:pPr>
          </w:p>
          <w:p w14:paraId="7A9840AF">
            <w:pPr>
              <w:keepNext w:val="0"/>
              <w:keepLines w:val="0"/>
              <w:suppressLineNumbers w:val="0"/>
              <w:autoSpaceDE w:val="0"/>
              <w:autoSpaceDN w:val="0"/>
              <w:spacing w:before="0" w:beforeAutospacing="0" w:after="0" w:afterAutospacing="0"/>
              <w:ind w:left="0" w:right="0"/>
              <w:jc w:val="center"/>
              <w:rPr>
                <w:rFonts w:hint="default" w:ascii="Times New Roman" w:hAnsi="Times New Roman" w:cs="Times New Roman" w:eastAsiaTheme="minorEastAsia"/>
                <w:b/>
                <w:bCs/>
                <w:color w:val="auto"/>
                <w:kern w:val="0"/>
                <w:sz w:val="21"/>
                <w:szCs w:val="21"/>
                <w:lang w:val="en-US" w:eastAsia="zh-CN" w:bidi="ar"/>
              </w:rPr>
            </w:pPr>
            <w:r>
              <w:rPr>
                <w:rFonts w:hint="default" w:ascii="Times New Roman" w:hAnsi="Times New Roman" w:cs="Times New Roman" w:eastAsiaTheme="minorEastAsia"/>
                <w:b/>
                <w:bCs/>
                <w:color w:val="auto"/>
                <w:kern w:val="0"/>
                <w:sz w:val="21"/>
                <w:szCs w:val="21"/>
                <w:lang w:val="en-US" w:eastAsia="zh-CN" w:bidi="ar"/>
              </w:rPr>
              <w:t>表4-</w:t>
            </w:r>
            <w:r>
              <w:rPr>
                <w:rFonts w:hint="eastAsia" w:ascii="Times New Roman" w:hAnsi="Times New Roman" w:cs="Times New Roman"/>
                <w:b/>
                <w:bCs/>
                <w:color w:val="auto"/>
                <w:kern w:val="0"/>
                <w:sz w:val="21"/>
                <w:szCs w:val="21"/>
                <w:lang w:val="en-US" w:eastAsia="zh-CN" w:bidi="ar"/>
              </w:rPr>
              <w:t>9</w:t>
            </w:r>
            <w:r>
              <w:rPr>
                <w:rFonts w:hint="default" w:ascii="Times New Roman" w:hAnsi="Times New Roman" w:cs="Times New Roman" w:eastAsiaTheme="minorEastAsia"/>
                <w:b/>
                <w:bCs/>
                <w:color w:val="auto"/>
                <w:kern w:val="0"/>
                <w:sz w:val="21"/>
                <w:szCs w:val="21"/>
                <w:lang w:val="en-US" w:eastAsia="zh-CN" w:bidi="ar"/>
              </w:rPr>
              <w:t xml:space="preserve"> 项目边界噪声预测结果表</w:t>
            </w:r>
          </w:p>
          <w:tbl>
            <w:tblPr>
              <w:tblStyle w:val="35"/>
              <w:tblW w:w="821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2173"/>
              <w:gridCol w:w="2293"/>
              <w:gridCol w:w="2265"/>
            </w:tblGrid>
            <w:tr w14:paraId="1A2FF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tcBorders>
                    <w:tl2br w:val="nil"/>
                    <w:tr2bl w:val="nil"/>
                  </w:tcBorders>
                  <w:vAlign w:val="center"/>
                </w:tcPr>
                <w:p w14:paraId="2C7985F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边界</w:t>
                  </w:r>
                </w:p>
              </w:tc>
              <w:tc>
                <w:tcPr>
                  <w:tcW w:w="2173" w:type="dxa"/>
                  <w:tcBorders>
                    <w:tl2br w:val="nil"/>
                    <w:tr2bl w:val="nil"/>
                  </w:tcBorders>
                  <w:vAlign w:val="center"/>
                </w:tcPr>
                <w:p w14:paraId="2721075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距离（m）</w:t>
                  </w:r>
                </w:p>
              </w:tc>
              <w:tc>
                <w:tcPr>
                  <w:tcW w:w="2293" w:type="dxa"/>
                  <w:tcBorders>
                    <w:tl2br w:val="nil"/>
                    <w:tr2bl w:val="nil"/>
                  </w:tcBorders>
                  <w:vAlign w:val="center"/>
                </w:tcPr>
                <w:p w14:paraId="07353E8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贡献值dB(A)</w:t>
                  </w:r>
                </w:p>
              </w:tc>
              <w:tc>
                <w:tcPr>
                  <w:tcW w:w="2265" w:type="dxa"/>
                  <w:tcBorders>
                    <w:tl2br w:val="nil"/>
                    <w:tr2bl w:val="nil"/>
                  </w:tcBorders>
                  <w:vAlign w:val="center"/>
                </w:tcPr>
                <w:p w14:paraId="1BED9F2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执行标准dB(A)</w:t>
                  </w:r>
                </w:p>
              </w:tc>
            </w:tr>
            <w:tr w14:paraId="10259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tcBorders>
                    <w:tl2br w:val="nil"/>
                    <w:tr2bl w:val="nil"/>
                  </w:tcBorders>
                  <w:vAlign w:val="center"/>
                </w:tcPr>
                <w:p w14:paraId="548C16F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东面</w:t>
                  </w:r>
                </w:p>
              </w:tc>
              <w:tc>
                <w:tcPr>
                  <w:tcW w:w="2173" w:type="dxa"/>
                  <w:tcBorders>
                    <w:tl2br w:val="nil"/>
                    <w:tr2bl w:val="nil"/>
                  </w:tcBorders>
                  <w:vAlign w:val="center"/>
                </w:tcPr>
                <w:p w14:paraId="5BE2ED9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60</w:t>
                  </w:r>
                  <w:r>
                    <w:rPr>
                      <w:rFonts w:hint="default" w:ascii="Times New Roman" w:hAnsi="Times New Roman" w:cs="Times New Roman" w:eastAsiaTheme="minorEastAsia"/>
                      <w:color w:val="auto"/>
                      <w:kern w:val="0"/>
                      <w:sz w:val="21"/>
                      <w:szCs w:val="21"/>
                      <w:lang w:val="en-US" w:eastAsia="zh-CN" w:bidi="ar"/>
                    </w:rPr>
                    <w:t>m</w:t>
                  </w:r>
                </w:p>
              </w:tc>
              <w:tc>
                <w:tcPr>
                  <w:tcW w:w="2293" w:type="dxa"/>
                  <w:tcBorders>
                    <w:tl2br w:val="nil"/>
                    <w:tr2bl w:val="nil"/>
                  </w:tcBorders>
                  <w:vAlign w:val="center"/>
                </w:tcPr>
                <w:p w14:paraId="491FDFE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25.74</w:t>
                  </w:r>
                </w:p>
              </w:tc>
              <w:tc>
                <w:tcPr>
                  <w:tcW w:w="2265" w:type="dxa"/>
                  <w:tcBorders>
                    <w:tl2br w:val="nil"/>
                    <w:tr2bl w:val="nil"/>
                  </w:tcBorders>
                  <w:vAlign w:val="center"/>
                </w:tcPr>
                <w:p w14:paraId="73EB22F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昼</w:t>
                  </w:r>
                  <w:r>
                    <w:rPr>
                      <w:rFonts w:hint="eastAsia" w:ascii="Times New Roman" w:hAnsi="Times New Roman" w:cs="Times New Roman"/>
                      <w:color w:val="auto"/>
                      <w:kern w:val="0"/>
                      <w:sz w:val="21"/>
                      <w:szCs w:val="21"/>
                      <w:lang w:val="en-US" w:eastAsia="zh-CN" w:bidi="ar"/>
                    </w:rPr>
                    <w:t>60</w:t>
                  </w:r>
                  <w:r>
                    <w:rPr>
                      <w:rFonts w:hint="default" w:ascii="Times New Roman" w:hAnsi="Times New Roman" w:cs="Times New Roman" w:eastAsiaTheme="minorEastAsia"/>
                      <w:color w:val="auto"/>
                      <w:kern w:val="0"/>
                      <w:sz w:val="21"/>
                      <w:szCs w:val="21"/>
                      <w:lang w:val="en-US" w:eastAsia="zh-CN" w:bidi="ar"/>
                    </w:rPr>
                    <w:t>，夜5</w:t>
                  </w:r>
                  <w:r>
                    <w:rPr>
                      <w:rFonts w:hint="eastAsia" w:ascii="Times New Roman" w:hAnsi="Times New Roman" w:cs="Times New Roman"/>
                      <w:color w:val="auto"/>
                      <w:kern w:val="0"/>
                      <w:sz w:val="21"/>
                      <w:szCs w:val="21"/>
                      <w:lang w:val="en-US" w:eastAsia="zh-CN" w:bidi="ar"/>
                    </w:rPr>
                    <w:t>0</w:t>
                  </w:r>
                </w:p>
              </w:tc>
            </w:tr>
            <w:tr w14:paraId="2070D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tcBorders>
                    <w:tl2br w:val="nil"/>
                    <w:tr2bl w:val="nil"/>
                  </w:tcBorders>
                  <w:vAlign w:val="center"/>
                </w:tcPr>
                <w:p w14:paraId="7EE1650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南面</w:t>
                  </w:r>
                </w:p>
              </w:tc>
              <w:tc>
                <w:tcPr>
                  <w:tcW w:w="2173" w:type="dxa"/>
                  <w:tcBorders>
                    <w:tl2br w:val="nil"/>
                    <w:tr2bl w:val="nil"/>
                  </w:tcBorders>
                  <w:vAlign w:val="center"/>
                </w:tcPr>
                <w:p w14:paraId="4CD53625">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45</w:t>
                  </w:r>
                  <w:r>
                    <w:rPr>
                      <w:rFonts w:hint="default" w:ascii="Times New Roman" w:hAnsi="Times New Roman" w:cs="Times New Roman" w:eastAsiaTheme="minorEastAsia"/>
                      <w:color w:val="auto"/>
                      <w:kern w:val="0"/>
                      <w:sz w:val="21"/>
                      <w:szCs w:val="21"/>
                      <w:lang w:val="en-US" w:eastAsia="zh-CN" w:bidi="ar"/>
                    </w:rPr>
                    <w:t>m</w:t>
                  </w:r>
                </w:p>
              </w:tc>
              <w:tc>
                <w:tcPr>
                  <w:tcW w:w="2293" w:type="dxa"/>
                  <w:tcBorders>
                    <w:tl2br w:val="nil"/>
                    <w:tr2bl w:val="nil"/>
                  </w:tcBorders>
                  <w:vAlign w:val="center"/>
                </w:tcPr>
                <w:p w14:paraId="2050175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28.24</w:t>
                  </w:r>
                </w:p>
              </w:tc>
              <w:tc>
                <w:tcPr>
                  <w:tcW w:w="2265" w:type="dxa"/>
                  <w:tcBorders>
                    <w:tl2br w:val="nil"/>
                    <w:tr2bl w:val="nil"/>
                  </w:tcBorders>
                  <w:vAlign w:val="center"/>
                </w:tcPr>
                <w:p w14:paraId="2F03247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昼</w:t>
                  </w:r>
                  <w:r>
                    <w:rPr>
                      <w:rFonts w:hint="eastAsia" w:ascii="Times New Roman" w:hAnsi="Times New Roman" w:cs="Times New Roman"/>
                      <w:color w:val="auto"/>
                      <w:kern w:val="0"/>
                      <w:sz w:val="21"/>
                      <w:szCs w:val="21"/>
                      <w:lang w:val="en-US" w:eastAsia="zh-CN" w:bidi="ar"/>
                    </w:rPr>
                    <w:t>60</w:t>
                  </w:r>
                  <w:r>
                    <w:rPr>
                      <w:rFonts w:hint="default" w:ascii="Times New Roman" w:hAnsi="Times New Roman" w:cs="Times New Roman" w:eastAsiaTheme="minorEastAsia"/>
                      <w:color w:val="auto"/>
                      <w:kern w:val="0"/>
                      <w:sz w:val="21"/>
                      <w:szCs w:val="21"/>
                      <w:lang w:val="en-US" w:eastAsia="zh-CN" w:bidi="ar"/>
                    </w:rPr>
                    <w:t>，夜5</w:t>
                  </w:r>
                  <w:r>
                    <w:rPr>
                      <w:rFonts w:hint="eastAsia" w:ascii="Times New Roman" w:hAnsi="Times New Roman" w:cs="Times New Roman"/>
                      <w:color w:val="auto"/>
                      <w:kern w:val="0"/>
                      <w:sz w:val="21"/>
                      <w:szCs w:val="21"/>
                      <w:lang w:val="en-US" w:eastAsia="zh-CN" w:bidi="ar"/>
                    </w:rPr>
                    <w:t>0</w:t>
                  </w:r>
                </w:p>
              </w:tc>
            </w:tr>
            <w:tr w14:paraId="091E8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tcBorders>
                    <w:tl2br w:val="nil"/>
                    <w:tr2bl w:val="nil"/>
                  </w:tcBorders>
                  <w:vAlign w:val="center"/>
                </w:tcPr>
                <w:p w14:paraId="5625FDF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西面</w:t>
                  </w:r>
                </w:p>
              </w:tc>
              <w:tc>
                <w:tcPr>
                  <w:tcW w:w="2173" w:type="dxa"/>
                  <w:tcBorders>
                    <w:tl2br w:val="nil"/>
                    <w:tr2bl w:val="nil"/>
                  </w:tcBorders>
                  <w:vAlign w:val="center"/>
                </w:tcPr>
                <w:p w14:paraId="7923163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55</w:t>
                  </w:r>
                  <w:r>
                    <w:rPr>
                      <w:rFonts w:hint="default" w:ascii="Times New Roman" w:hAnsi="Times New Roman" w:cs="Times New Roman" w:eastAsiaTheme="minorEastAsia"/>
                      <w:color w:val="auto"/>
                      <w:kern w:val="0"/>
                      <w:sz w:val="21"/>
                      <w:szCs w:val="21"/>
                      <w:lang w:val="en-US" w:eastAsia="zh-CN" w:bidi="ar"/>
                    </w:rPr>
                    <w:t>m</w:t>
                  </w:r>
                </w:p>
              </w:tc>
              <w:tc>
                <w:tcPr>
                  <w:tcW w:w="2293" w:type="dxa"/>
                  <w:tcBorders>
                    <w:tl2br w:val="nil"/>
                    <w:tr2bl w:val="nil"/>
                  </w:tcBorders>
                  <w:vAlign w:val="center"/>
                </w:tcPr>
                <w:p w14:paraId="77EADD8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26.49</w:t>
                  </w:r>
                </w:p>
              </w:tc>
              <w:tc>
                <w:tcPr>
                  <w:tcW w:w="2265" w:type="dxa"/>
                  <w:tcBorders>
                    <w:tl2br w:val="nil"/>
                    <w:tr2bl w:val="nil"/>
                  </w:tcBorders>
                  <w:vAlign w:val="center"/>
                </w:tcPr>
                <w:p w14:paraId="4D7EA19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昼</w:t>
                  </w:r>
                  <w:r>
                    <w:rPr>
                      <w:rFonts w:hint="eastAsia" w:ascii="Times New Roman" w:hAnsi="Times New Roman" w:cs="Times New Roman"/>
                      <w:color w:val="auto"/>
                      <w:kern w:val="0"/>
                      <w:sz w:val="21"/>
                      <w:szCs w:val="21"/>
                      <w:lang w:val="en-US" w:eastAsia="zh-CN" w:bidi="ar"/>
                    </w:rPr>
                    <w:t>60</w:t>
                  </w:r>
                  <w:r>
                    <w:rPr>
                      <w:rFonts w:hint="default" w:ascii="Times New Roman" w:hAnsi="Times New Roman" w:cs="Times New Roman" w:eastAsiaTheme="minorEastAsia"/>
                      <w:color w:val="auto"/>
                      <w:kern w:val="0"/>
                      <w:sz w:val="21"/>
                      <w:szCs w:val="21"/>
                      <w:lang w:val="en-US" w:eastAsia="zh-CN" w:bidi="ar"/>
                    </w:rPr>
                    <w:t>，夜5</w:t>
                  </w:r>
                  <w:r>
                    <w:rPr>
                      <w:rFonts w:hint="eastAsia" w:ascii="Times New Roman" w:hAnsi="Times New Roman" w:cs="Times New Roman"/>
                      <w:color w:val="auto"/>
                      <w:kern w:val="0"/>
                      <w:sz w:val="21"/>
                      <w:szCs w:val="21"/>
                      <w:lang w:val="en-US" w:eastAsia="zh-CN" w:bidi="ar"/>
                    </w:rPr>
                    <w:t>0</w:t>
                  </w:r>
                </w:p>
              </w:tc>
            </w:tr>
            <w:tr w14:paraId="16332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1480" w:type="dxa"/>
                  <w:tcBorders>
                    <w:tl2br w:val="nil"/>
                    <w:tr2bl w:val="nil"/>
                  </w:tcBorders>
                  <w:vAlign w:val="center"/>
                </w:tcPr>
                <w:p w14:paraId="2C53D4C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北面</w:t>
                  </w:r>
                </w:p>
              </w:tc>
              <w:tc>
                <w:tcPr>
                  <w:tcW w:w="2173" w:type="dxa"/>
                  <w:tcBorders>
                    <w:tl2br w:val="nil"/>
                    <w:tr2bl w:val="nil"/>
                  </w:tcBorders>
                  <w:vAlign w:val="center"/>
                </w:tcPr>
                <w:p w14:paraId="1E77613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40</w:t>
                  </w:r>
                  <w:r>
                    <w:rPr>
                      <w:rFonts w:hint="default" w:ascii="Times New Roman" w:hAnsi="Times New Roman" w:cs="Times New Roman" w:eastAsiaTheme="minorEastAsia"/>
                      <w:color w:val="auto"/>
                      <w:kern w:val="0"/>
                      <w:sz w:val="21"/>
                      <w:szCs w:val="21"/>
                      <w:lang w:val="en-US" w:eastAsia="zh-CN" w:bidi="ar"/>
                    </w:rPr>
                    <w:t>m</w:t>
                  </w:r>
                </w:p>
              </w:tc>
              <w:tc>
                <w:tcPr>
                  <w:tcW w:w="2293" w:type="dxa"/>
                  <w:tcBorders>
                    <w:tl2br w:val="nil"/>
                    <w:tr2bl w:val="nil"/>
                  </w:tcBorders>
                  <w:vAlign w:val="center"/>
                </w:tcPr>
                <w:p w14:paraId="24AEEFF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29.26</w:t>
                  </w:r>
                </w:p>
              </w:tc>
              <w:tc>
                <w:tcPr>
                  <w:tcW w:w="2265" w:type="dxa"/>
                  <w:tcBorders>
                    <w:tl2br w:val="nil"/>
                    <w:tr2bl w:val="nil"/>
                  </w:tcBorders>
                  <w:vAlign w:val="center"/>
                </w:tcPr>
                <w:p w14:paraId="24887A1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昼</w:t>
                  </w:r>
                  <w:r>
                    <w:rPr>
                      <w:rFonts w:hint="eastAsia" w:ascii="Times New Roman" w:hAnsi="Times New Roman" w:cs="Times New Roman"/>
                      <w:color w:val="auto"/>
                      <w:kern w:val="0"/>
                      <w:sz w:val="21"/>
                      <w:szCs w:val="21"/>
                      <w:lang w:val="en-US" w:eastAsia="zh-CN" w:bidi="ar"/>
                    </w:rPr>
                    <w:t>60</w:t>
                  </w:r>
                  <w:r>
                    <w:rPr>
                      <w:rFonts w:hint="default" w:ascii="Times New Roman" w:hAnsi="Times New Roman" w:cs="Times New Roman" w:eastAsiaTheme="minorEastAsia"/>
                      <w:color w:val="auto"/>
                      <w:kern w:val="0"/>
                      <w:sz w:val="21"/>
                      <w:szCs w:val="21"/>
                      <w:lang w:val="en-US" w:eastAsia="zh-CN" w:bidi="ar"/>
                    </w:rPr>
                    <w:t>，夜5</w:t>
                  </w:r>
                  <w:r>
                    <w:rPr>
                      <w:rFonts w:hint="eastAsia" w:ascii="Times New Roman" w:hAnsi="Times New Roman" w:cs="Times New Roman"/>
                      <w:color w:val="auto"/>
                      <w:kern w:val="0"/>
                      <w:sz w:val="21"/>
                      <w:szCs w:val="21"/>
                      <w:lang w:val="en-US" w:eastAsia="zh-CN" w:bidi="ar"/>
                    </w:rPr>
                    <w:t>0</w:t>
                  </w:r>
                </w:p>
              </w:tc>
            </w:tr>
          </w:tbl>
          <w:p w14:paraId="19A53215">
            <w:pPr>
              <w:keepNext w:val="0"/>
              <w:keepLines w:val="0"/>
              <w:suppressLineNumbers w:val="0"/>
              <w:spacing w:before="0" w:beforeAutospacing="0" w:after="0" w:afterAutospacing="0" w:line="360" w:lineRule="auto"/>
              <w:ind w:left="0" w:right="0" w:firstLine="560"/>
              <w:jc w:val="both"/>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本项目建成运营期间，昼间厂界噪声贡献值在27.39~29.10dB（A），满足《工业企业厂界环境噪声排放标准》（GB12348-2008）厂界外</w:t>
            </w:r>
            <w:r>
              <w:rPr>
                <w:rFonts w:hint="eastAsia" w:ascii="Times New Roman" w:hAnsi="Times New Roman" w:cs="Times New Roman"/>
                <w:color w:val="auto"/>
                <w:kern w:val="0"/>
                <w:sz w:val="24"/>
                <w:szCs w:val="20"/>
                <w:lang w:val="en-US" w:eastAsia="zh-CN" w:bidi="ar"/>
              </w:rPr>
              <w:t>2</w:t>
            </w:r>
            <w:r>
              <w:rPr>
                <w:rFonts w:hint="default" w:ascii="Times New Roman" w:hAnsi="Times New Roman" w:cs="Times New Roman" w:eastAsiaTheme="minorEastAsia"/>
                <w:color w:val="auto"/>
                <w:kern w:val="0"/>
                <w:sz w:val="24"/>
                <w:szCs w:val="20"/>
                <w:lang w:val="en-US" w:eastAsia="zh-CN" w:bidi="ar"/>
              </w:rPr>
              <w:t>类声环境功能区噪声限值。</w:t>
            </w:r>
          </w:p>
          <w:p w14:paraId="3C1BCDE6">
            <w:pPr>
              <w:pStyle w:val="24"/>
              <w:keepNext w:val="0"/>
              <w:keepLines w:val="0"/>
              <w:suppressLineNumbers w:val="0"/>
              <w:spacing w:before="0" w:beforeAutospacing="0" w:after="0" w:afterAutospacing="0"/>
              <w:ind w:left="0" w:right="0" w:firstLine="422" w:firstLineChars="200"/>
              <w:jc w:val="center"/>
              <w:rPr>
                <w:rFonts w:hint="default" w:ascii="Times New Roman" w:hAnsi="Times New Roman" w:cs="Times New Roman" w:eastAsiaTheme="minorEastAsia"/>
                <w:b/>
                <w:bCs/>
                <w:color w:val="auto"/>
                <w:kern w:val="0"/>
                <w:sz w:val="21"/>
                <w:szCs w:val="21"/>
                <w:lang w:val="en-US" w:eastAsia="zh-CN" w:bidi="ar"/>
              </w:rPr>
            </w:pPr>
            <w:r>
              <w:rPr>
                <w:rFonts w:hint="default" w:ascii="Times New Roman" w:hAnsi="Times New Roman" w:cs="Times New Roman" w:eastAsiaTheme="minorEastAsia"/>
                <w:b/>
                <w:bCs/>
                <w:color w:val="auto"/>
                <w:kern w:val="0"/>
                <w:sz w:val="21"/>
                <w:szCs w:val="21"/>
                <w:lang w:val="en-US" w:eastAsia="zh-CN" w:bidi="ar"/>
              </w:rPr>
              <w:t>表4-1</w:t>
            </w:r>
            <w:r>
              <w:rPr>
                <w:rFonts w:hint="eastAsia" w:ascii="Times New Roman" w:hAnsi="Times New Roman" w:cs="Times New Roman"/>
                <w:b/>
                <w:bCs/>
                <w:color w:val="auto"/>
                <w:kern w:val="0"/>
                <w:sz w:val="21"/>
                <w:szCs w:val="21"/>
                <w:lang w:val="en-US" w:eastAsia="zh-CN" w:bidi="ar"/>
              </w:rPr>
              <w:t>0</w:t>
            </w:r>
            <w:r>
              <w:rPr>
                <w:rFonts w:hint="default" w:ascii="Times New Roman" w:hAnsi="Times New Roman" w:cs="Times New Roman" w:eastAsiaTheme="minorEastAsia"/>
                <w:b/>
                <w:bCs/>
                <w:color w:val="auto"/>
                <w:kern w:val="0"/>
                <w:sz w:val="21"/>
                <w:szCs w:val="21"/>
                <w:lang w:val="en-US" w:eastAsia="zh-CN" w:bidi="ar"/>
              </w:rPr>
              <w:t xml:space="preserve"> 项目营运期监测计划一览表</w:t>
            </w:r>
          </w:p>
          <w:tbl>
            <w:tblPr>
              <w:tblStyle w:val="35"/>
              <w:tblW w:w="79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589"/>
              <w:gridCol w:w="1149"/>
              <w:gridCol w:w="1533"/>
              <w:gridCol w:w="1009"/>
              <w:gridCol w:w="3678"/>
            </w:tblGrid>
            <w:tr w14:paraId="3CC73B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573" w:hRule="atLeast"/>
                <w:jc w:val="center"/>
              </w:trPr>
              <w:tc>
                <w:tcPr>
                  <w:tcW w:w="589" w:type="dxa"/>
                  <w:vAlign w:val="center"/>
                </w:tcPr>
                <w:p w14:paraId="606B756E">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序号</w:t>
                  </w:r>
                </w:p>
              </w:tc>
              <w:tc>
                <w:tcPr>
                  <w:tcW w:w="1149" w:type="dxa"/>
                  <w:vAlign w:val="center"/>
                </w:tcPr>
                <w:p w14:paraId="2927B74F">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污染源名称</w:t>
                  </w:r>
                </w:p>
              </w:tc>
              <w:tc>
                <w:tcPr>
                  <w:tcW w:w="1533" w:type="dxa"/>
                  <w:vAlign w:val="center"/>
                </w:tcPr>
                <w:p w14:paraId="567915D4">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监测项目</w:t>
                  </w:r>
                </w:p>
              </w:tc>
              <w:tc>
                <w:tcPr>
                  <w:tcW w:w="1009" w:type="dxa"/>
                  <w:vAlign w:val="center"/>
                </w:tcPr>
                <w:p w14:paraId="35CA5C04">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监测频次</w:t>
                  </w:r>
                </w:p>
              </w:tc>
              <w:tc>
                <w:tcPr>
                  <w:tcW w:w="3678" w:type="dxa"/>
                  <w:vAlign w:val="center"/>
                </w:tcPr>
                <w:p w14:paraId="20639FE5">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监测标准</w:t>
                  </w:r>
                </w:p>
              </w:tc>
            </w:tr>
            <w:tr w14:paraId="184CAB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28" w:type="dxa"/>
                  <w:bottom w:w="0" w:type="dxa"/>
                  <w:right w:w="28" w:type="dxa"/>
                </w:tblCellMar>
              </w:tblPrEx>
              <w:trPr>
                <w:trHeight w:val="558" w:hRule="atLeast"/>
                <w:jc w:val="center"/>
              </w:trPr>
              <w:tc>
                <w:tcPr>
                  <w:tcW w:w="589" w:type="dxa"/>
                  <w:vAlign w:val="center"/>
                </w:tcPr>
                <w:p w14:paraId="4B437D56">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1</w:t>
                  </w:r>
                </w:p>
              </w:tc>
              <w:tc>
                <w:tcPr>
                  <w:tcW w:w="1149" w:type="dxa"/>
                  <w:vAlign w:val="center"/>
                </w:tcPr>
                <w:p w14:paraId="4832B2BC">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厂界噪声</w:t>
                  </w:r>
                </w:p>
              </w:tc>
              <w:tc>
                <w:tcPr>
                  <w:tcW w:w="1533" w:type="dxa"/>
                  <w:vAlign w:val="center"/>
                </w:tcPr>
                <w:p w14:paraId="6C7DBFAE">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等效A声级</w:t>
                  </w:r>
                </w:p>
              </w:tc>
              <w:tc>
                <w:tcPr>
                  <w:tcW w:w="1009" w:type="dxa"/>
                  <w:vAlign w:val="center"/>
                </w:tcPr>
                <w:p w14:paraId="68FC0A53">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1次/季度</w:t>
                  </w:r>
                </w:p>
              </w:tc>
              <w:tc>
                <w:tcPr>
                  <w:tcW w:w="3678" w:type="dxa"/>
                  <w:vAlign w:val="center"/>
                </w:tcPr>
                <w:p w14:paraId="084AFBBD">
                  <w:pPr>
                    <w:keepNext w:val="0"/>
                    <w:keepLines w:val="0"/>
                    <w:suppressLineNumbers w:val="0"/>
                    <w:adjustRightInd w:val="0"/>
                    <w:spacing w:before="0" w:beforeAutospacing="0" w:after="0" w:afterAutospacing="0" w:line="312" w:lineRule="auto"/>
                    <w:ind w:left="0" w:right="0"/>
                    <w:jc w:val="center"/>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四周边界执行《工业企业厂界环境噪声排放标准》（GB 12348-2008）</w:t>
                  </w:r>
                  <w:r>
                    <w:rPr>
                      <w:rFonts w:hint="eastAsia" w:ascii="Times New Roman" w:hAnsi="Times New Roman" w:cs="Times New Roman"/>
                      <w:color w:val="auto"/>
                      <w:kern w:val="0"/>
                      <w:sz w:val="21"/>
                      <w:szCs w:val="21"/>
                      <w:lang w:val="en-US" w:eastAsia="zh-CN" w:bidi="ar"/>
                    </w:rPr>
                    <w:t>2</w:t>
                  </w:r>
                  <w:r>
                    <w:rPr>
                      <w:rFonts w:hint="default" w:ascii="Times New Roman" w:hAnsi="Times New Roman" w:cs="Times New Roman" w:eastAsiaTheme="minorEastAsia"/>
                      <w:color w:val="auto"/>
                      <w:kern w:val="0"/>
                      <w:sz w:val="21"/>
                      <w:szCs w:val="21"/>
                      <w:lang w:val="en-US" w:eastAsia="zh-CN" w:bidi="ar"/>
                    </w:rPr>
                    <w:t>类标准，</w:t>
                  </w:r>
                </w:p>
              </w:tc>
            </w:tr>
          </w:tbl>
          <w:p w14:paraId="3D7CEAAA">
            <w:pPr>
              <w:pStyle w:val="24"/>
              <w:keepNext w:val="0"/>
              <w:keepLines w:val="0"/>
              <w:numPr>
                <w:ilvl w:val="0"/>
                <w:numId w:val="0"/>
              </w:numPr>
              <w:suppressLineNumbers w:val="0"/>
              <w:adjustRightInd w:val="0"/>
              <w:snapToGrid w:val="0"/>
              <w:spacing w:before="0" w:beforeAutospacing="0" w:after="0" w:afterAutospacing="0" w:line="360" w:lineRule="auto"/>
              <w:ind w:left="0" w:right="0" w:rightChars="0" w:firstLine="482" w:firstLineChars="200"/>
              <w:rPr>
                <w:rFonts w:hint="default" w:ascii="Times New Roman" w:hAnsi="Times New Roman" w:cs="Times New Roman" w:eastAsiaTheme="minorEastAsia"/>
                <w:b/>
                <w:bCs/>
                <w:color w:val="auto"/>
                <w:kern w:val="0"/>
                <w:sz w:val="24"/>
                <w:szCs w:val="20"/>
                <w:lang w:val="en-US" w:eastAsia="zh-CN" w:bidi="ar"/>
              </w:rPr>
            </w:pPr>
            <w:r>
              <w:rPr>
                <w:rFonts w:hint="eastAsia" w:ascii="Times New Roman" w:hAnsi="Times New Roman" w:cs="Times New Roman"/>
                <w:b/>
                <w:bCs/>
                <w:color w:val="auto"/>
                <w:kern w:val="0"/>
                <w:sz w:val="24"/>
                <w:szCs w:val="20"/>
                <w:lang w:val="en-US" w:eastAsia="zh-CN" w:bidi="ar"/>
              </w:rPr>
              <w:t>四</w:t>
            </w:r>
            <w:r>
              <w:rPr>
                <w:rFonts w:hint="default" w:ascii="Times New Roman" w:hAnsi="Times New Roman" w:cs="Times New Roman" w:eastAsiaTheme="minorEastAsia"/>
                <w:b/>
                <w:bCs/>
                <w:color w:val="auto"/>
                <w:kern w:val="0"/>
                <w:sz w:val="24"/>
                <w:szCs w:val="20"/>
                <w:lang w:val="en-US" w:eastAsia="zh-CN" w:bidi="ar"/>
              </w:rPr>
              <w:t>、固体废物</w:t>
            </w:r>
          </w:p>
          <w:p w14:paraId="4764BC60">
            <w:pPr>
              <w:pStyle w:val="24"/>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eastAsiaTheme="minorEastAsia"/>
                <w:b/>
                <w:bCs/>
                <w:color w:val="auto"/>
                <w:kern w:val="0"/>
                <w:sz w:val="24"/>
                <w:szCs w:val="20"/>
                <w:lang w:val="en-US" w:eastAsia="zh-CN" w:bidi="ar"/>
              </w:rPr>
            </w:pPr>
            <w:r>
              <w:rPr>
                <w:rFonts w:hint="default" w:ascii="Times New Roman" w:hAnsi="Times New Roman" w:cs="Times New Roman" w:eastAsiaTheme="minorEastAsia"/>
                <w:b/>
                <w:bCs/>
                <w:color w:val="auto"/>
                <w:kern w:val="0"/>
                <w:sz w:val="24"/>
                <w:szCs w:val="20"/>
                <w:lang w:val="en-US" w:eastAsia="zh-CN" w:bidi="ar"/>
              </w:rPr>
              <w:t>1、固体废物产生情况</w:t>
            </w:r>
          </w:p>
          <w:p w14:paraId="648E93CD">
            <w:pPr>
              <w:pStyle w:val="24"/>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本项目运营期不产生危险废物，产生的固体废物主要为生活垃圾。</w:t>
            </w:r>
          </w:p>
          <w:p w14:paraId="5FFF39A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根据《社会区域类环境影响评价》（环评工程师培训教材），办公垃圾为0.5～1.0 kg/人·d 。本项目职工</w:t>
            </w:r>
            <w:r>
              <w:rPr>
                <w:rFonts w:hint="eastAsia" w:ascii="Times New Roman" w:hAnsi="Times New Roman" w:cs="Times New Roman"/>
                <w:color w:val="auto"/>
                <w:kern w:val="0"/>
                <w:sz w:val="24"/>
                <w:szCs w:val="20"/>
                <w:lang w:val="en-US" w:eastAsia="zh-CN" w:bidi="ar"/>
              </w:rPr>
              <w:t>2</w:t>
            </w:r>
            <w:r>
              <w:rPr>
                <w:rFonts w:hint="default" w:ascii="Times New Roman" w:hAnsi="Times New Roman" w:cs="Times New Roman" w:eastAsiaTheme="minorEastAsia"/>
                <w:color w:val="auto"/>
                <w:kern w:val="0"/>
                <w:sz w:val="24"/>
                <w:szCs w:val="20"/>
                <w:lang w:val="en-US" w:eastAsia="zh-CN" w:bidi="ar"/>
              </w:rPr>
              <w:t>人，生活垃圾量按每人每日0.5kg，年工作3</w:t>
            </w:r>
            <w:r>
              <w:rPr>
                <w:rFonts w:hint="eastAsia" w:ascii="Times New Roman" w:hAnsi="Times New Roman" w:cs="Times New Roman"/>
                <w:color w:val="auto"/>
                <w:kern w:val="0"/>
                <w:sz w:val="24"/>
                <w:szCs w:val="20"/>
                <w:lang w:val="en-US" w:eastAsia="zh-CN" w:bidi="ar"/>
              </w:rPr>
              <w:t>60</w:t>
            </w:r>
            <w:r>
              <w:rPr>
                <w:rFonts w:hint="default" w:ascii="Times New Roman" w:hAnsi="Times New Roman" w:cs="Times New Roman" w:eastAsiaTheme="minorEastAsia"/>
                <w:color w:val="auto"/>
                <w:kern w:val="0"/>
                <w:sz w:val="24"/>
                <w:szCs w:val="20"/>
                <w:lang w:val="en-US" w:eastAsia="zh-CN" w:bidi="ar"/>
              </w:rPr>
              <w:t>天，则本项目生活垃圾产生量为</w:t>
            </w:r>
            <w:r>
              <w:rPr>
                <w:rFonts w:hint="eastAsia" w:ascii="Times New Roman" w:hAnsi="Times New Roman" w:cs="Times New Roman"/>
                <w:color w:val="auto"/>
                <w:kern w:val="0"/>
                <w:sz w:val="24"/>
                <w:szCs w:val="20"/>
                <w:lang w:val="en-US" w:eastAsia="zh-CN" w:bidi="ar"/>
              </w:rPr>
              <w:t>0.36</w:t>
            </w:r>
            <w:r>
              <w:rPr>
                <w:rFonts w:hint="default" w:ascii="Times New Roman" w:hAnsi="Times New Roman" w:cs="Times New Roman" w:eastAsiaTheme="minorEastAsia"/>
                <w:color w:val="auto"/>
                <w:kern w:val="0"/>
                <w:sz w:val="24"/>
                <w:szCs w:val="20"/>
                <w:lang w:val="en-US" w:eastAsia="zh-CN" w:bidi="ar"/>
              </w:rPr>
              <w:t>t/a，经收集后交环卫部门清运处理。</w:t>
            </w:r>
          </w:p>
          <w:p w14:paraId="7CA2292A">
            <w:pPr>
              <w:pStyle w:val="24"/>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eastAsiaTheme="minorEastAsia"/>
                <w:b/>
                <w:bCs/>
                <w:i w:val="0"/>
                <w:iCs w:val="0"/>
                <w:color w:val="auto"/>
                <w:kern w:val="0"/>
                <w:sz w:val="24"/>
                <w:szCs w:val="20"/>
                <w:lang w:val="en-US" w:eastAsia="zh-CN" w:bidi="ar"/>
              </w:rPr>
            </w:pPr>
            <w:r>
              <w:rPr>
                <w:rFonts w:hint="default" w:ascii="Times New Roman" w:hAnsi="Times New Roman" w:cs="Times New Roman" w:eastAsiaTheme="minorEastAsia"/>
                <w:b/>
                <w:bCs/>
                <w:i w:val="0"/>
                <w:iCs w:val="0"/>
                <w:color w:val="auto"/>
                <w:kern w:val="0"/>
                <w:sz w:val="24"/>
                <w:szCs w:val="20"/>
                <w:lang w:val="en-US" w:eastAsia="zh-CN" w:bidi="ar"/>
              </w:rPr>
              <w:t>2、环境管理要求</w:t>
            </w:r>
          </w:p>
          <w:p w14:paraId="68EA599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（1）一般工业固体废物</w:t>
            </w:r>
          </w:p>
          <w:p w14:paraId="0380A39D">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对于一般工业废物，根据《一般工业固体废物贮存和填埋污染控制标准》（GB18599-2020）及相关国家及地方法律法规，提出如下环保措施：</w:t>
            </w:r>
          </w:p>
          <w:p w14:paraId="54FCA3F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①为防止雨水径流进入贮存、处置场内，避免渗滤液量增加和滑坡，贮存、处置场周边应设置导流渠。</w:t>
            </w:r>
          </w:p>
          <w:p w14:paraId="677CA810">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②为加强监督管理，贮存、处置场应按GB15562.2设置环境保护图形标志。</w:t>
            </w:r>
          </w:p>
          <w:p w14:paraId="5FCC796E">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③贮存、处置场使用单位，应建立检查维护制度。定期检查维护堤、坝、挡土墙、导流渠等设施，发现有损坏可能或异常，应及时采取必要措施，以保障正常运行。</w:t>
            </w:r>
          </w:p>
          <w:p w14:paraId="66BEFD50">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④贮存、处置场的使用单位，应建立档案制度。应将入场的一般工业固体废物的种类和数量以及下列资料。详细记录在案，长期保存，供随时查阅。。</w:t>
            </w:r>
          </w:p>
          <w:p w14:paraId="53744EA1">
            <w:pPr>
              <w:pStyle w:val="24"/>
              <w:keepNext w:val="0"/>
              <w:keepLines w:val="0"/>
              <w:suppressLineNumbers w:val="0"/>
              <w:spacing w:before="0" w:beforeAutospacing="0" w:after="0" w:afterAutospacing="0" w:line="360" w:lineRule="auto"/>
              <w:ind w:left="420" w:leftChars="200" w:right="0"/>
              <w:rPr>
                <w:rFonts w:hint="default" w:ascii="Times New Roman" w:hAnsi="Times New Roman" w:cs="Times New Roman" w:eastAsiaTheme="minorEastAsia"/>
                <w:b/>
                <w:bCs/>
                <w:color w:val="auto"/>
                <w:kern w:val="0"/>
                <w:sz w:val="24"/>
                <w:szCs w:val="20"/>
                <w:lang w:val="en-US" w:eastAsia="zh-CN" w:bidi="ar"/>
              </w:rPr>
            </w:pPr>
            <w:r>
              <w:rPr>
                <w:rFonts w:hint="default" w:ascii="Times New Roman" w:hAnsi="Times New Roman" w:cs="Times New Roman" w:eastAsiaTheme="minorEastAsia"/>
                <w:b/>
                <w:bCs/>
                <w:color w:val="auto"/>
                <w:kern w:val="0"/>
                <w:sz w:val="24"/>
                <w:szCs w:val="20"/>
                <w:lang w:val="en-US" w:eastAsia="zh-CN" w:bidi="ar"/>
              </w:rPr>
              <w:t>五、土壤分析</w:t>
            </w:r>
          </w:p>
          <w:p w14:paraId="59E547D4">
            <w:pPr>
              <w:pStyle w:val="42"/>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根据《环境影响评价技术导则 土壤环境（试行）》（HJ964-2018）可知，本项目属于污染影响型项目，需根据土壤环境影响评价项目类别、占地规模与敏感程度划分工作等级，详见下表。</w:t>
            </w:r>
          </w:p>
          <w:p w14:paraId="4EBB4B6E">
            <w:pPr>
              <w:pStyle w:val="42"/>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表4-1</w:t>
            </w:r>
            <w:r>
              <w:rPr>
                <w:rFonts w:hint="eastAsia" w:ascii="Times New Roman" w:hAnsi="Times New Roman" w:eastAsia="宋体" w:cs="Times New Roman"/>
                <w:b/>
                <w:bCs/>
                <w:color w:val="auto"/>
                <w:sz w:val="21"/>
                <w:szCs w:val="21"/>
                <w:lang w:val="en-US" w:eastAsia="zh-CN"/>
              </w:rPr>
              <w:t>1</w:t>
            </w:r>
            <w:r>
              <w:rPr>
                <w:rFonts w:hint="default" w:ascii="Times New Roman" w:hAnsi="Times New Roman" w:eastAsia="宋体" w:cs="Times New Roman"/>
                <w:b/>
                <w:bCs/>
                <w:color w:val="auto"/>
                <w:sz w:val="21"/>
                <w:szCs w:val="21"/>
              </w:rPr>
              <w:t xml:space="preserve">  污染影响型评价工作等级划分表</w:t>
            </w:r>
          </w:p>
          <w:tbl>
            <w:tblPr>
              <w:tblStyle w:val="35"/>
              <w:tblW w:w="797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Layout w:type="fixed"/>
              <w:tblCellMar>
                <w:top w:w="0" w:type="dxa"/>
                <w:left w:w="108" w:type="dxa"/>
                <w:bottom w:w="0" w:type="dxa"/>
                <w:right w:w="108" w:type="dxa"/>
              </w:tblCellMar>
            </w:tblPr>
            <w:tblGrid>
              <w:gridCol w:w="1995"/>
              <w:gridCol w:w="663"/>
              <w:gridCol w:w="663"/>
              <w:gridCol w:w="668"/>
              <w:gridCol w:w="663"/>
              <w:gridCol w:w="663"/>
              <w:gridCol w:w="668"/>
              <w:gridCol w:w="663"/>
              <w:gridCol w:w="663"/>
              <w:gridCol w:w="669"/>
            </w:tblGrid>
            <w:tr w14:paraId="3ADABA36">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334" w:hRule="atLeast"/>
              </w:trPr>
              <w:tc>
                <w:tcPr>
                  <w:tcW w:w="1995" w:type="dxa"/>
                  <w:vMerge w:val="restart"/>
                  <w:tcBorders>
                    <w:tl2br w:val="nil"/>
                    <w:tr2bl w:val="nil"/>
                  </w:tcBorders>
                  <w:vAlign w:val="center"/>
                </w:tcPr>
                <w:p w14:paraId="05688E3B">
                  <w:pPr>
                    <w:pStyle w:val="42"/>
                    <w:keepNext w:val="0"/>
                    <w:keepLines w:val="0"/>
                    <w:suppressLineNumbers w:val="0"/>
                    <w:spacing w:before="31" w:beforeAutospacing="0" w:after="31" w:afterAutospacing="0" w:line="360" w:lineRule="auto"/>
                    <w:ind w:left="0" w:right="0" w:firstLine="840" w:firstLineChars="4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mc:AlternateContent>
                      <mc:Choice Requires="wps">
                        <w:drawing>
                          <wp:anchor distT="0" distB="0" distL="114300" distR="114300" simplePos="0" relativeHeight="251662336" behindDoc="0" locked="0" layoutInCell="1" allowOverlap="1">
                            <wp:simplePos x="0" y="0"/>
                            <wp:positionH relativeFrom="column">
                              <wp:posOffset>-64135</wp:posOffset>
                            </wp:positionH>
                            <wp:positionV relativeFrom="paragraph">
                              <wp:posOffset>0</wp:posOffset>
                            </wp:positionV>
                            <wp:extent cx="1242060" cy="278765"/>
                            <wp:effectExtent l="1270" t="4445" r="13970" b="21590"/>
                            <wp:wrapNone/>
                            <wp:docPr id="9" name="直接连接符 9"/>
                            <wp:cNvGraphicFramePr/>
                            <a:graphic xmlns:a="http://schemas.openxmlformats.org/drawingml/2006/main">
                              <a:graphicData uri="http://schemas.microsoft.com/office/word/2010/wordprocessingShape">
                                <wps:wsp>
                                  <wps:cNvCnPr/>
                                  <wps:spPr>
                                    <a:xfrm>
                                      <a:off x="0" y="0"/>
                                      <a:ext cx="1242060" cy="27876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5.05pt;margin-top:0pt;height:21.95pt;width:97.8pt;z-index:251662336;mso-width-relative:page;mso-height-relative:page;" filled="f" stroked="t" coordsize="21600,21600" o:gfxdata="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4/e0dUAAAAHAQAADwAAAAAAAAABACAAAAAiAAAAZHJzL2Rvd25yZXYueG1sUEsBAhQAFAAAAAgA&#10;h07iQH7G9trvAQAA3QMAAA4AAAAAAAAAAQAgAAAAJAEAAGRycy9lMm9Eb2MueG1sUEsFBgAAAAAG&#10;AAYAWQEAAIUFAAAAAA==&#10;">
                            <v:fill on="f" focussize="0,0"/>
                            <v:stroke color="#000000" joinstyle="round"/>
                            <v:imagedata o:title=""/>
                            <o:lock v:ext="edit" aspectratio="f"/>
                          </v:line>
                        </w:pict>
                      </mc:Fallback>
                    </mc:AlternateContent>
                  </w:r>
                  <w:r>
                    <w:rPr>
                      <w:rFonts w:hint="default" w:ascii="Times New Roman" w:hAnsi="Times New Roman" w:eastAsia="宋体" w:cs="Times New Roman"/>
                      <w:color w:val="auto"/>
                      <w:sz w:val="21"/>
                      <w:szCs w:val="21"/>
                    </w:rPr>
                    <w:t>占地规模</w:t>
                  </w:r>
                </w:p>
                <w:p w14:paraId="415F5509">
                  <w:pPr>
                    <w:pStyle w:val="42"/>
                    <w:keepNext w:val="0"/>
                    <w:keepLines w:val="0"/>
                    <w:suppressLineNumbers w:val="0"/>
                    <w:spacing w:before="31" w:beforeAutospacing="0" w:after="31" w:afterAutospacing="0" w:line="360" w:lineRule="auto"/>
                    <w:ind w:left="0" w:right="0" w:firstLine="210" w:firstLineChars="1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评价工作</w:t>
                  </w:r>
                  <w:r>
                    <w:rPr>
                      <w:rFonts w:hint="default" w:ascii="Times New Roman" w:hAnsi="Times New Roman" w:eastAsia="宋体" w:cs="Times New Roman"/>
                      <w:color w:val="auto"/>
                      <w:sz w:val="21"/>
                      <w:szCs w:val="21"/>
                    </w:rPr>
                    <mc:AlternateContent>
                      <mc:Choice Requires="wps">
                        <w:drawing>
                          <wp:anchor distT="0" distB="0" distL="114300" distR="114300" simplePos="0" relativeHeight="251663360" behindDoc="0" locked="0" layoutInCell="1" allowOverlap="1">
                            <wp:simplePos x="0" y="0"/>
                            <wp:positionH relativeFrom="column">
                              <wp:posOffset>-78740</wp:posOffset>
                            </wp:positionH>
                            <wp:positionV relativeFrom="paragraph">
                              <wp:posOffset>125095</wp:posOffset>
                            </wp:positionV>
                            <wp:extent cx="1239520" cy="342900"/>
                            <wp:effectExtent l="1270" t="4445" r="16510" b="14605"/>
                            <wp:wrapNone/>
                            <wp:docPr id="13" name="直接连接符 13"/>
                            <wp:cNvGraphicFramePr/>
                            <a:graphic xmlns:a="http://schemas.openxmlformats.org/drawingml/2006/main">
                              <a:graphicData uri="http://schemas.microsoft.com/office/word/2010/wordprocessingShape">
                                <wps:wsp>
                                  <wps:cNvCnPr/>
                                  <wps:spPr>
                                    <a:xfrm>
                                      <a:off x="0" y="0"/>
                                      <a:ext cx="1239520" cy="3429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6.2pt;margin-top:9.85pt;height:27pt;width:97.6pt;z-index:251663360;mso-width-relative:page;mso-height-relative:page;" filled="f" stroked="t" coordsize="21600,21600" o:gfxdata="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XSrOY1wAAAAkBAAAPAAAAAAAAAAEAIAAAACIAAABkcnMvZG93bnJldi54bWxQSwECFAAU&#10;AAAACACHTuJAuAVNovIBAADfAwAADgAAAAAAAAABACAAAAAmAQAAZHJzL2Uyb0RvYy54bWxQSwUG&#10;AAAAAAYABgBZAQAAigUAAAAA&#10;">
                            <v:fill on="f" focussize="0,0"/>
                            <v:stroke color="#000000" joinstyle="round"/>
                            <v:imagedata o:title=""/>
                            <o:lock v:ext="edit" aspectratio="f"/>
                          </v:line>
                        </w:pict>
                      </mc:Fallback>
                    </mc:AlternateContent>
                  </w:r>
                  <w:r>
                    <w:rPr>
                      <w:rFonts w:hint="default" w:ascii="Times New Roman" w:hAnsi="Times New Roman" w:eastAsia="宋体" w:cs="Times New Roman"/>
                      <w:color w:val="auto"/>
                      <w:sz w:val="21"/>
                      <w:szCs w:val="21"/>
                    </w:rPr>
                    <w:t>等级</w:t>
                  </w:r>
                </w:p>
                <w:p w14:paraId="1C396326">
                  <w:pPr>
                    <w:pStyle w:val="42"/>
                    <w:keepNext w:val="0"/>
                    <w:keepLines w:val="0"/>
                    <w:suppressLineNumbers w:val="0"/>
                    <w:spacing w:before="31" w:beforeAutospacing="0" w:after="31" w:afterAutospacing="0" w:line="360" w:lineRule="auto"/>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敏感程度</w:t>
                  </w:r>
                </w:p>
              </w:tc>
              <w:tc>
                <w:tcPr>
                  <w:tcW w:w="1994" w:type="dxa"/>
                  <w:gridSpan w:val="3"/>
                  <w:tcBorders>
                    <w:tl2br w:val="nil"/>
                    <w:tr2bl w:val="nil"/>
                  </w:tcBorders>
                  <w:vAlign w:val="center"/>
                </w:tcPr>
                <w:p w14:paraId="338C270C">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Ⅰ类</w:t>
                  </w:r>
                </w:p>
              </w:tc>
              <w:tc>
                <w:tcPr>
                  <w:tcW w:w="1994" w:type="dxa"/>
                  <w:gridSpan w:val="3"/>
                  <w:tcBorders>
                    <w:tl2br w:val="nil"/>
                    <w:tr2bl w:val="nil"/>
                  </w:tcBorders>
                  <w:vAlign w:val="center"/>
                </w:tcPr>
                <w:p w14:paraId="3065ACD1">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Ⅱ类</w:t>
                  </w:r>
                </w:p>
              </w:tc>
              <w:tc>
                <w:tcPr>
                  <w:tcW w:w="1995" w:type="dxa"/>
                  <w:gridSpan w:val="3"/>
                  <w:tcBorders>
                    <w:tl2br w:val="nil"/>
                    <w:tr2bl w:val="nil"/>
                  </w:tcBorders>
                  <w:vAlign w:val="center"/>
                </w:tcPr>
                <w:p w14:paraId="0EC72FE5">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Ⅲ类</w:t>
                  </w:r>
                </w:p>
              </w:tc>
            </w:tr>
            <w:tr w14:paraId="6CCE7740">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689" w:hRule="atLeast"/>
              </w:trPr>
              <w:tc>
                <w:tcPr>
                  <w:tcW w:w="1995" w:type="dxa"/>
                  <w:vMerge w:val="continue"/>
                  <w:tcBorders>
                    <w:tl2br w:val="nil"/>
                    <w:tr2bl w:val="nil"/>
                  </w:tcBorders>
                  <w:vAlign w:val="center"/>
                </w:tcPr>
                <w:p w14:paraId="142B272D">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p>
              </w:tc>
              <w:tc>
                <w:tcPr>
                  <w:tcW w:w="663" w:type="dxa"/>
                  <w:tcBorders>
                    <w:tl2br w:val="nil"/>
                    <w:tr2bl w:val="nil"/>
                  </w:tcBorders>
                  <w:vAlign w:val="center"/>
                </w:tcPr>
                <w:p w14:paraId="2B1EC911">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w:t>
                  </w:r>
                </w:p>
              </w:tc>
              <w:tc>
                <w:tcPr>
                  <w:tcW w:w="663" w:type="dxa"/>
                  <w:tcBorders>
                    <w:tl2br w:val="nil"/>
                    <w:tr2bl w:val="nil"/>
                  </w:tcBorders>
                  <w:vAlign w:val="center"/>
                </w:tcPr>
                <w:p w14:paraId="6638DC87">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w:t>
                  </w:r>
                </w:p>
              </w:tc>
              <w:tc>
                <w:tcPr>
                  <w:tcW w:w="668" w:type="dxa"/>
                  <w:tcBorders>
                    <w:tl2br w:val="nil"/>
                    <w:tr2bl w:val="nil"/>
                  </w:tcBorders>
                  <w:vAlign w:val="center"/>
                </w:tcPr>
                <w:p w14:paraId="546219F8">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小</w:t>
                  </w:r>
                </w:p>
              </w:tc>
              <w:tc>
                <w:tcPr>
                  <w:tcW w:w="663" w:type="dxa"/>
                  <w:tcBorders>
                    <w:tl2br w:val="nil"/>
                    <w:tr2bl w:val="nil"/>
                  </w:tcBorders>
                  <w:vAlign w:val="center"/>
                </w:tcPr>
                <w:p w14:paraId="6F3B4B38">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w:t>
                  </w:r>
                </w:p>
              </w:tc>
              <w:tc>
                <w:tcPr>
                  <w:tcW w:w="663" w:type="dxa"/>
                  <w:tcBorders>
                    <w:tl2br w:val="nil"/>
                    <w:tr2bl w:val="nil"/>
                  </w:tcBorders>
                  <w:vAlign w:val="center"/>
                </w:tcPr>
                <w:p w14:paraId="36B3132E">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w:t>
                  </w:r>
                </w:p>
              </w:tc>
              <w:tc>
                <w:tcPr>
                  <w:tcW w:w="668" w:type="dxa"/>
                  <w:tcBorders>
                    <w:tl2br w:val="nil"/>
                    <w:tr2bl w:val="nil"/>
                  </w:tcBorders>
                  <w:vAlign w:val="center"/>
                </w:tcPr>
                <w:p w14:paraId="7CCFBC4A">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小</w:t>
                  </w:r>
                </w:p>
              </w:tc>
              <w:tc>
                <w:tcPr>
                  <w:tcW w:w="663" w:type="dxa"/>
                  <w:tcBorders>
                    <w:tl2br w:val="nil"/>
                    <w:tr2bl w:val="nil"/>
                  </w:tcBorders>
                  <w:vAlign w:val="center"/>
                </w:tcPr>
                <w:p w14:paraId="7920D994">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w:t>
                  </w:r>
                </w:p>
              </w:tc>
              <w:tc>
                <w:tcPr>
                  <w:tcW w:w="663" w:type="dxa"/>
                  <w:tcBorders>
                    <w:tl2br w:val="nil"/>
                    <w:tr2bl w:val="nil"/>
                  </w:tcBorders>
                  <w:vAlign w:val="center"/>
                </w:tcPr>
                <w:p w14:paraId="3E20C151">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w:t>
                  </w:r>
                </w:p>
              </w:tc>
              <w:tc>
                <w:tcPr>
                  <w:tcW w:w="669" w:type="dxa"/>
                  <w:tcBorders>
                    <w:tl2br w:val="nil"/>
                    <w:tr2bl w:val="nil"/>
                  </w:tcBorders>
                  <w:vAlign w:val="center"/>
                </w:tcPr>
                <w:p w14:paraId="7C59353C">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小</w:t>
                  </w:r>
                </w:p>
              </w:tc>
            </w:tr>
            <w:tr w14:paraId="758E6415">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316" w:hRule="atLeast"/>
              </w:trPr>
              <w:tc>
                <w:tcPr>
                  <w:tcW w:w="1995" w:type="dxa"/>
                  <w:tcBorders>
                    <w:tl2br w:val="nil"/>
                    <w:tr2bl w:val="nil"/>
                  </w:tcBorders>
                  <w:vAlign w:val="center"/>
                </w:tcPr>
                <w:p w14:paraId="43052906">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敏感</w:t>
                  </w:r>
                </w:p>
              </w:tc>
              <w:tc>
                <w:tcPr>
                  <w:tcW w:w="663" w:type="dxa"/>
                  <w:tcBorders>
                    <w:tl2br w:val="nil"/>
                    <w:tr2bl w:val="nil"/>
                  </w:tcBorders>
                  <w:vAlign w:val="center"/>
                </w:tcPr>
                <w:p w14:paraId="05550E7E">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一级</w:t>
                  </w:r>
                </w:p>
              </w:tc>
              <w:tc>
                <w:tcPr>
                  <w:tcW w:w="663" w:type="dxa"/>
                  <w:tcBorders>
                    <w:tl2br w:val="nil"/>
                    <w:tr2bl w:val="nil"/>
                  </w:tcBorders>
                  <w:vAlign w:val="center"/>
                </w:tcPr>
                <w:p w14:paraId="4FD00969">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一级</w:t>
                  </w:r>
                </w:p>
              </w:tc>
              <w:tc>
                <w:tcPr>
                  <w:tcW w:w="668" w:type="dxa"/>
                  <w:tcBorders>
                    <w:tl2br w:val="nil"/>
                    <w:tr2bl w:val="nil"/>
                  </w:tcBorders>
                  <w:vAlign w:val="center"/>
                </w:tcPr>
                <w:p w14:paraId="7B3C93F5">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一级</w:t>
                  </w:r>
                </w:p>
              </w:tc>
              <w:tc>
                <w:tcPr>
                  <w:tcW w:w="663" w:type="dxa"/>
                  <w:tcBorders>
                    <w:tl2br w:val="nil"/>
                    <w:tr2bl w:val="nil"/>
                  </w:tcBorders>
                  <w:vAlign w:val="center"/>
                </w:tcPr>
                <w:p w14:paraId="5DFDC143">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3" w:type="dxa"/>
                  <w:tcBorders>
                    <w:tl2br w:val="nil"/>
                    <w:tr2bl w:val="nil"/>
                  </w:tcBorders>
                  <w:vAlign w:val="center"/>
                </w:tcPr>
                <w:p w14:paraId="37629244">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8" w:type="dxa"/>
                  <w:tcBorders>
                    <w:tl2br w:val="nil"/>
                    <w:tr2bl w:val="nil"/>
                  </w:tcBorders>
                  <w:vAlign w:val="center"/>
                </w:tcPr>
                <w:p w14:paraId="7A73CA5E">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3" w:type="dxa"/>
                  <w:tcBorders>
                    <w:tl2br w:val="nil"/>
                    <w:tr2bl w:val="nil"/>
                  </w:tcBorders>
                  <w:vAlign w:val="center"/>
                </w:tcPr>
                <w:p w14:paraId="1FD0E2D9">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三级</w:t>
                  </w:r>
                </w:p>
              </w:tc>
              <w:tc>
                <w:tcPr>
                  <w:tcW w:w="663" w:type="dxa"/>
                  <w:tcBorders>
                    <w:tl2br w:val="nil"/>
                    <w:tr2bl w:val="nil"/>
                  </w:tcBorders>
                  <w:vAlign w:val="center"/>
                </w:tcPr>
                <w:p w14:paraId="5D50A9DD">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三级</w:t>
                  </w:r>
                </w:p>
              </w:tc>
              <w:tc>
                <w:tcPr>
                  <w:tcW w:w="669" w:type="dxa"/>
                  <w:tcBorders>
                    <w:tl2br w:val="nil"/>
                    <w:tr2bl w:val="nil"/>
                  </w:tcBorders>
                  <w:vAlign w:val="center"/>
                </w:tcPr>
                <w:p w14:paraId="10204F01">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三级</w:t>
                  </w:r>
                </w:p>
              </w:tc>
            </w:tr>
            <w:tr w14:paraId="6B18AB67">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316" w:hRule="atLeast"/>
              </w:trPr>
              <w:tc>
                <w:tcPr>
                  <w:tcW w:w="1995" w:type="dxa"/>
                  <w:tcBorders>
                    <w:tl2br w:val="nil"/>
                    <w:tr2bl w:val="nil"/>
                  </w:tcBorders>
                  <w:vAlign w:val="center"/>
                </w:tcPr>
                <w:p w14:paraId="619127B2">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较敏感</w:t>
                  </w:r>
                </w:p>
              </w:tc>
              <w:tc>
                <w:tcPr>
                  <w:tcW w:w="663" w:type="dxa"/>
                  <w:tcBorders>
                    <w:tl2br w:val="nil"/>
                    <w:tr2bl w:val="nil"/>
                  </w:tcBorders>
                  <w:vAlign w:val="center"/>
                </w:tcPr>
                <w:p w14:paraId="7422D558">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一级</w:t>
                  </w:r>
                </w:p>
              </w:tc>
              <w:tc>
                <w:tcPr>
                  <w:tcW w:w="663" w:type="dxa"/>
                  <w:tcBorders>
                    <w:tl2br w:val="nil"/>
                    <w:tr2bl w:val="nil"/>
                  </w:tcBorders>
                  <w:vAlign w:val="center"/>
                </w:tcPr>
                <w:p w14:paraId="43FF33E2">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8" w:type="dxa"/>
                  <w:tcBorders>
                    <w:tl2br w:val="nil"/>
                    <w:tr2bl w:val="nil"/>
                  </w:tcBorders>
                  <w:vAlign w:val="center"/>
                </w:tcPr>
                <w:p w14:paraId="27C05E07">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3" w:type="dxa"/>
                  <w:tcBorders>
                    <w:tl2br w:val="nil"/>
                    <w:tr2bl w:val="nil"/>
                  </w:tcBorders>
                  <w:vAlign w:val="center"/>
                </w:tcPr>
                <w:p w14:paraId="06BB6557">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3" w:type="dxa"/>
                  <w:tcBorders>
                    <w:tl2br w:val="nil"/>
                    <w:tr2bl w:val="nil"/>
                  </w:tcBorders>
                  <w:vAlign w:val="center"/>
                </w:tcPr>
                <w:p w14:paraId="71580C48">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8" w:type="dxa"/>
                  <w:tcBorders>
                    <w:tl2br w:val="nil"/>
                    <w:tr2bl w:val="nil"/>
                  </w:tcBorders>
                  <w:vAlign w:val="center"/>
                </w:tcPr>
                <w:p w14:paraId="3958604D">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三级</w:t>
                  </w:r>
                </w:p>
              </w:tc>
              <w:tc>
                <w:tcPr>
                  <w:tcW w:w="663" w:type="dxa"/>
                  <w:tcBorders>
                    <w:tl2br w:val="nil"/>
                    <w:tr2bl w:val="nil"/>
                  </w:tcBorders>
                  <w:vAlign w:val="center"/>
                </w:tcPr>
                <w:p w14:paraId="13519476">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三级</w:t>
                  </w:r>
                </w:p>
              </w:tc>
              <w:tc>
                <w:tcPr>
                  <w:tcW w:w="663" w:type="dxa"/>
                  <w:tcBorders>
                    <w:tl2br w:val="nil"/>
                    <w:tr2bl w:val="nil"/>
                  </w:tcBorders>
                  <w:vAlign w:val="center"/>
                </w:tcPr>
                <w:p w14:paraId="49519EE5">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三级</w:t>
                  </w:r>
                </w:p>
              </w:tc>
              <w:tc>
                <w:tcPr>
                  <w:tcW w:w="669" w:type="dxa"/>
                  <w:tcBorders>
                    <w:tl2br w:val="nil"/>
                    <w:tr2bl w:val="nil"/>
                  </w:tcBorders>
                  <w:vAlign w:val="center"/>
                </w:tcPr>
                <w:p w14:paraId="0EBCA179">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14:paraId="19040562">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316" w:hRule="atLeast"/>
              </w:trPr>
              <w:tc>
                <w:tcPr>
                  <w:tcW w:w="1995" w:type="dxa"/>
                  <w:tcBorders>
                    <w:tl2br w:val="nil"/>
                    <w:tr2bl w:val="nil"/>
                  </w:tcBorders>
                  <w:vAlign w:val="center"/>
                </w:tcPr>
                <w:p w14:paraId="36C3E625">
                  <w:pPr>
                    <w:pStyle w:val="42"/>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不敏感</w:t>
                  </w:r>
                </w:p>
              </w:tc>
              <w:tc>
                <w:tcPr>
                  <w:tcW w:w="663" w:type="dxa"/>
                  <w:tcBorders>
                    <w:tl2br w:val="nil"/>
                    <w:tr2bl w:val="nil"/>
                  </w:tcBorders>
                  <w:vAlign w:val="center"/>
                </w:tcPr>
                <w:p w14:paraId="2D86D867">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一级</w:t>
                  </w:r>
                </w:p>
              </w:tc>
              <w:tc>
                <w:tcPr>
                  <w:tcW w:w="663" w:type="dxa"/>
                  <w:tcBorders>
                    <w:tl2br w:val="nil"/>
                    <w:tr2bl w:val="nil"/>
                  </w:tcBorders>
                  <w:vAlign w:val="center"/>
                </w:tcPr>
                <w:p w14:paraId="3EE3E7C3">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8" w:type="dxa"/>
                  <w:tcBorders>
                    <w:tl2br w:val="nil"/>
                    <w:tr2bl w:val="nil"/>
                  </w:tcBorders>
                  <w:vAlign w:val="center"/>
                </w:tcPr>
                <w:p w14:paraId="2B5EC824">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3" w:type="dxa"/>
                  <w:tcBorders>
                    <w:tl2br w:val="nil"/>
                    <w:tr2bl w:val="nil"/>
                  </w:tcBorders>
                  <w:vAlign w:val="center"/>
                </w:tcPr>
                <w:p w14:paraId="3FCA643E">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二级</w:t>
                  </w:r>
                </w:p>
              </w:tc>
              <w:tc>
                <w:tcPr>
                  <w:tcW w:w="663" w:type="dxa"/>
                  <w:tcBorders>
                    <w:tl2br w:val="nil"/>
                    <w:tr2bl w:val="nil"/>
                  </w:tcBorders>
                  <w:vAlign w:val="center"/>
                </w:tcPr>
                <w:p w14:paraId="2F930882">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三级</w:t>
                  </w:r>
                </w:p>
              </w:tc>
              <w:tc>
                <w:tcPr>
                  <w:tcW w:w="668" w:type="dxa"/>
                  <w:tcBorders>
                    <w:tl2br w:val="nil"/>
                    <w:tr2bl w:val="nil"/>
                  </w:tcBorders>
                  <w:vAlign w:val="center"/>
                </w:tcPr>
                <w:p w14:paraId="6DC0FE7F">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三级</w:t>
                  </w:r>
                </w:p>
              </w:tc>
              <w:tc>
                <w:tcPr>
                  <w:tcW w:w="663" w:type="dxa"/>
                  <w:tcBorders>
                    <w:tl2br w:val="nil"/>
                    <w:tr2bl w:val="nil"/>
                  </w:tcBorders>
                  <w:vAlign w:val="center"/>
                </w:tcPr>
                <w:p w14:paraId="72065DD7">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三级</w:t>
                  </w:r>
                </w:p>
              </w:tc>
              <w:tc>
                <w:tcPr>
                  <w:tcW w:w="663" w:type="dxa"/>
                  <w:tcBorders>
                    <w:tl2br w:val="nil"/>
                    <w:tr2bl w:val="nil"/>
                  </w:tcBorders>
                  <w:vAlign w:val="center"/>
                </w:tcPr>
                <w:p w14:paraId="164725FF">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9" w:type="dxa"/>
                  <w:tcBorders>
                    <w:tl2br w:val="nil"/>
                    <w:tr2bl w:val="nil"/>
                  </w:tcBorders>
                  <w:vAlign w:val="center"/>
                </w:tcPr>
                <w:p w14:paraId="166CCC24">
                  <w:pPr>
                    <w:keepNext w:val="0"/>
                    <w:keepLines w:val="0"/>
                    <w:suppressLineNumbers w:val="0"/>
                    <w:spacing w:before="31" w:beforeAutospacing="0" w:after="31"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14:paraId="71908779">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344" w:hRule="atLeast"/>
              </w:trPr>
              <w:tc>
                <w:tcPr>
                  <w:tcW w:w="7978" w:type="dxa"/>
                  <w:gridSpan w:val="10"/>
                  <w:tcBorders>
                    <w:tl2br w:val="nil"/>
                    <w:tr2bl w:val="nil"/>
                  </w:tcBorders>
                  <w:vAlign w:val="center"/>
                </w:tcPr>
                <w:p w14:paraId="70A4D281">
                  <w:pPr>
                    <w:pStyle w:val="42"/>
                    <w:keepNext w:val="0"/>
                    <w:keepLines w:val="0"/>
                    <w:suppressLineNumbers w:val="0"/>
                    <w:spacing w:before="31" w:beforeAutospacing="0" w:after="31" w:afterAutospacing="0" w:line="360" w:lineRule="auto"/>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注：：“—”表示可不开展土壤环境影响评价工作</w:t>
                  </w:r>
                </w:p>
              </w:tc>
            </w:tr>
          </w:tbl>
          <w:p w14:paraId="7120521E">
            <w:pPr>
              <w:pStyle w:val="24"/>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根据《环境影响评价技术导则 土壤环境（试行）》（HJ964-2018）中等级判别，本项目属于《建设项目环境影响评价分类管理目录》中“其他行业”类，按照《环境影响评价技术导则 土壤环境（试行）》（HJ964-2018）列入</w:t>
            </w:r>
            <w:r>
              <w:rPr>
                <w:rFonts w:hint="default" w:ascii="Times New Roman" w:hAnsi="Times New Roman" w:cs="Times New Roman" w:eastAsiaTheme="minorEastAsia"/>
                <w:color w:val="auto"/>
                <w:kern w:val="0"/>
                <w:sz w:val="24"/>
                <w:szCs w:val="20"/>
                <w:lang w:val="en-US" w:eastAsia="zh-CN" w:bidi="ar"/>
              </w:rPr>
              <w:fldChar w:fldCharType="begin"/>
            </w:r>
            <w:r>
              <w:rPr>
                <w:rFonts w:hint="default" w:ascii="Times New Roman" w:hAnsi="Times New Roman" w:cs="Times New Roman" w:eastAsiaTheme="minorEastAsia"/>
                <w:color w:val="auto"/>
                <w:kern w:val="0"/>
                <w:sz w:val="24"/>
                <w:szCs w:val="20"/>
                <w:lang w:val="en-US" w:eastAsia="zh-CN" w:bidi="ar"/>
              </w:rPr>
              <w:instrText xml:space="preserve"> = 4 \* ROMAN \* MERGEFORMAT </w:instrText>
            </w:r>
            <w:r>
              <w:rPr>
                <w:rFonts w:hint="default" w:ascii="Times New Roman" w:hAnsi="Times New Roman" w:cs="Times New Roman" w:eastAsiaTheme="minorEastAsia"/>
                <w:color w:val="auto"/>
                <w:kern w:val="0"/>
                <w:sz w:val="24"/>
                <w:szCs w:val="20"/>
                <w:lang w:val="en-US" w:eastAsia="zh-CN" w:bidi="ar"/>
              </w:rPr>
              <w:fldChar w:fldCharType="separate"/>
            </w:r>
            <w:r>
              <w:rPr>
                <w:rFonts w:hint="default" w:ascii="Times New Roman" w:hAnsi="Times New Roman" w:cs="Times New Roman" w:eastAsiaTheme="minorEastAsia"/>
                <w:color w:val="auto"/>
                <w:kern w:val="0"/>
                <w:sz w:val="24"/>
                <w:szCs w:val="20"/>
                <w:lang w:val="en-US" w:eastAsia="zh-CN" w:bidi="ar"/>
              </w:rPr>
              <w:t>IV</w:t>
            </w:r>
            <w:r>
              <w:rPr>
                <w:rFonts w:hint="default" w:ascii="Times New Roman" w:hAnsi="Times New Roman" w:cs="Times New Roman" w:eastAsiaTheme="minorEastAsia"/>
                <w:color w:val="auto"/>
                <w:kern w:val="0"/>
                <w:sz w:val="24"/>
                <w:szCs w:val="20"/>
                <w:lang w:val="en-US" w:eastAsia="zh-CN" w:bidi="ar"/>
              </w:rPr>
              <w:fldChar w:fldCharType="end"/>
            </w:r>
            <w:r>
              <w:rPr>
                <w:rFonts w:hint="default" w:ascii="Times New Roman" w:hAnsi="Times New Roman" w:cs="Times New Roman" w:eastAsiaTheme="minorEastAsia"/>
                <w:color w:val="auto"/>
                <w:kern w:val="0"/>
                <w:sz w:val="24"/>
                <w:szCs w:val="20"/>
                <w:lang w:val="en-US" w:eastAsia="zh-CN" w:bidi="ar"/>
              </w:rPr>
              <w:t>类。因此，项目可不开展土壤环境影响评价，不进行进一步预测分析，仅采用定向描述进行简单分析。</w:t>
            </w:r>
          </w:p>
          <w:p w14:paraId="4250C724">
            <w:pPr>
              <w:keepNext w:val="0"/>
              <w:keepLines w:val="0"/>
              <w:suppressLineNumbers w:val="0"/>
              <w:spacing w:before="0" w:beforeAutospacing="0" w:after="0" w:afterAutospacing="0" w:line="360" w:lineRule="auto"/>
              <w:ind w:left="0" w:right="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 xml:space="preserve">   本项目厂区均硬底化，露天堆料区域雨天会使用防水布进行覆盖，项目无工艺废气产生；因此，本项目不存污染物垂直入渗、地表漫流及大气沉降等土壤污染途径，因此本项目运营期间不会对当地土壤环境造成不良影响。</w:t>
            </w:r>
          </w:p>
          <w:p w14:paraId="18586E90">
            <w:pPr>
              <w:pStyle w:val="24"/>
              <w:keepNext w:val="0"/>
              <w:keepLines w:val="0"/>
              <w:suppressLineNumbers w:val="0"/>
              <w:spacing w:before="0" w:beforeAutospacing="0" w:after="0" w:afterAutospacing="0" w:line="360" w:lineRule="auto"/>
              <w:ind w:left="420" w:leftChars="200" w:right="0"/>
              <w:rPr>
                <w:rFonts w:hint="default" w:cs="Times New Roman" w:asciiTheme="minorHAnsi" w:hAnsiTheme="minorHAnsi" w:eastAsiaTheme="minorEastAsia"/>
                <w:b/>
                <w:bCs/>
                <w:color w:val="auto"/>
                <w:kern w:val="0"/>
                <w:sz w:val="24"/>
                <w:szCs w:val="20"/>
                <w:lang w:val="en-US" w:eastAsia="zh-CN" w:bidi="ar"/>
              </w:rPr>
            </w:pPr>
            <w:r>
              <w:rPr>
                <w:rFonts w:hint="default" w:cs="Times New Roman" w:asciiTheme="minorHAnsi" w:hAnsiTheme="minorHAnsi" w:eastAsiaTheme="minorEastAsia"/>
                <w:b/>
                <w:bCs/>
                <w:color w:val="auto"/>
                <w:kern w:val="0"/>
                <w:sz w:val="24"/>
                <w:szCs w:val="20"/>
                <w:lang w:val="en-US" w:eastAsia="zh-CN" w:bidi="ar"/>
              </w:rPr>
              <w:t>六、地下水分析</w:t>
            </w:r>
          </w:p>
          <w:p w14:paraId="0A703A3F">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19" w:name="_Toc24418"/>
            <w:bookmarkStart w:id="20" w:name="_Toc17113"/>
            <w:bookmarkStart w:id="21" w:name="_Toc28226"/>
            <w:bookmarkStart w:id="22" w:name="_Toc11121"/>
            <w:bookmarkStart w:id="23" w:name="_Toc26030"/>
            <w:bookmarkStart w:id="24" w:name="_Toc6396"/>
            <w:bookmarkStart w:id="25" w:name="_Toc10330"/>
            <w:bookmarkStart w:id="26" w:name="_Toc26935"/>
            <w:bookmarkStart w:id="27" w:name="_Toc13998"/>
            <w:bookmarkStart w:id="28" w:name="_Toc23951"/>
            <w:r>
              <w:rPr>
                <w:rFonts w:hint="default" w:ascii="Times New Roman" w:hAnsi="Times New Roman" w:cs="Times New Roman" w:eastAsiaTheme="minorEastAsia"/>
                <w:b w:val="0"/>
                <w:bCs/>
                <w:color w:val="auto"/>
                <w:kern w:val="0"/>
                <w:sz w:val="24"/>
                <w:szCs w:val="20"/>
                <w:lang w:val="en-US" w:eastAsia="zh-CN" w:bidi="ar"/>
              </w:rPr>
              <w:t>依据《环境影响评价技术导则一一地下水环境》(HJ610-2016）中附录 A 地下水环境影响评价行业分类表，结合项目实际情况，可知本项目属于</w:t>
            </w:r>
            <w:r>
              <w:rPr>
                <w:rFonts w:hint="eastAsia" w:ascii="Times New Roman" w:hAnsi="Times New Roman" w:cs="Times New Roman"/>
                <w:b w:val="0"/>
                <w:bCs/>
                <w:color w:val="auto"/>
                <w:kern w:val="0"/>
                <w:sz w:val="24"/>
                <w:szCs w:val="20"/>
                <w:lang w:val="en-US" w:eastAsia="zh-CN" w:bidi="ar"/>
              </w:rPr>
              <w:t>154</w:t>
            </w:r>
            <w:r>
              <w:rPr>
                <w:rFonts w:hint="default" w:ascii="Times New Roman" w:hAnsi="Times New Roman" w:cs="Times New Roman" w:eastAsiaTheme="minorEastAsia"/>
                <w:b w:val="0"/>
                <w:bCs/>
                <w:color w:val="auto"/>
                <w:kern w:val="0"/>
                <w:sz w:val="24"/>
                <w:szCs w:val="20"/>
                <w:lang w:val="en-US" w:eastAsia="zh-CN" w:bidi="ar"/>
              </w:rPr>
              <w:t>、</w:t>
            </w:r>
            <w:r>
              <w:rPr>
                <w:rFonts w:hint="eastAsia" w:ascii="Times New Roman" w:hAnsi="Times New Roman" w:cs="Times New Roman"/>
                <w:b w:val="0"/>
                <w:bCs/>
                <w:color w:val="auto"/>
                <w:kern w:val="0"/>
                <w:sz w:val="24"/>
                <w:szCs w:val="20"/>
                <w:lang w:val="en-US" w:eastAsia="zh-CN" w:bidi="ar"/>
              </w:rPr>
              <w:t>仓储（不含油库、气库、煤炭储存）-</w:t>
            </w:r>
            <w:r>
              <w:rPr>
                <w:rFonts w:hint="default" w:ascii="Times New Roman" w:hAnsi="Times New Roman" w:cs="Times New Roman" w:eastAsiaTheme="minorEastAsia"/>
                <w:b w:val="0"/>
                <w:bCs/>
                <w:color w:val="auto"/>
                <w:kern w:val="0"/>
                <w:sz w:val="24"/>
                <w:szCs w:val="20"/>
                <w:lang w:val="en-US" w:eastAsia="zh-CN" w:bidi="ar"/>
              </w:rPr>
              <w:t>其他，属于</w:t>
            </w:r>
            <w:r>
              <w:rPr>
                <w:rFonts w:hint="eastAsia" w:ascii="Times New Roman" w:hAnsi="Times New Roman" w:cs="Times New Roman"/>
                <w:b w:val="0"/>
                <w:bCs/>
                <w:color w:val="auto"/>
                <w:kern w:val="0"/>
                <w:sz w:val="24"/>
                <w:szCs w:val="20"/>
                <w:lang w:val="en-US" w:eastAsia="zh-CN" w:bidi="ar"/>
              </w:rPr>
              <w:t>Ⅲ</w:t>
            </w:r>
            <w:r>
              <w:rPr>
                <w:rFonts w:hint="default" w:ascii="Times New Roman" w:hAnsi="Times New Roman" w:cs="Times New Roman" w:eastAsiaTheme="minorEastAsia"/>
                <w:b w:val="0"/>
                <w:bCs/>
                <w:color w:val="auto"/>
                <w:kern w:val="0"/>
                <w:sz w:val="24"/>
                <w:szCs w:val="20"/>
                <w:lang w:val="en-US" w:eastAsia="zh-CN" w:bidi="ar"/>
              </w:rPr>
              <w:t>类建设项目，周边地下水环境敏感特征为不敏感，不开展地下水环境影响评价。</w:t>
            </w:r>
            <w:bookmarkEnd w:id="19"/>
            <w:bookmarkEnd w:id="20"/>
            <w:bookmarkEnd w:id="21"/>
            <w:bookmarkEnd w:id="22"/>
            <w:bookmarkEnd w:id="23"/>
            <w:bookmarkEnd w:id="24"/>
            <w:bookmarkEnd w:id="25"/>
            <w:bookmarkEnd w:id="26"/>
            <w:bookmarkEnd w:id="27"/>
            <w:bookmarkEnd w:id="28"/>
          </w:p>
          <w:p w14:paraId="19CA55DF">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29" w:name="_Toc1720"/>
            <w:bookmarkStart w:id="30" w:name="_Toc9838"/>
            <w:bookmarkStart w:id="31" w:name="_Toc31490"/>
            <w:bookmarkStart w:id="32" w:name="_Toc23718"/>
            <w:bookmarkStart w:id="33" w:name="_Toc17116"/>
            <w:bookmarkStart w:id="34" w:name="_Toc8895"/>
            <w:bookmarkStart w:id="35" w:name="_Toc14790"/>
            <w:bookmarkStart w:id="36" w:name="_Toc31860"/>
            <w:bookmarkStart w:id="37" w:name="_Toc16393"/>
            <w:bookmarkStart w:id="38" w:name="_Toc2141"/>
            <w:r>
              <w:rPr>
                <w:rFonts w:hint="default" w:ascii="Times New Roman" w:hAnsi="Times New Roman" w:cs="Times New Roman" w:eastAsiaTheme="minorEastAsia"/>
                <w:b w:val="0"/>
                <w:bCs/>
                <w:color w:val="auto"/>
                <w:kern w:val="0"/>
                <w:sz w:val="24"/>
                <w:szCs w:val="20"/>
                <w:lang w:val="en-US" w:eastAsia="zh-CN" w:bidi="ar"/>
              </w:rPr>
              <w:t>项目仅就可能产生的影响提出以下内容：</w:t>
            </w:r>
            <w:bookmarkEnd w:id="29"/>
            <w:bookmarkEnd w:id="30"/>
            <w:bookmarkEnd w:id="31"/>
            <w:bookmarkEnd w:id="32"/>
            <w:bookmarkEnd w:id="33"/>
            <w:bookmarkEnd w:id="34"/>
            <w:bookmarkEnd w:id="35"/>
            <w:bookmarkEnd w:id="36"/>
            <w:bookmarkEnd w:id="37"/>
            <w:bookmarkEnd w:id="38"/>
          </w:p>
          <w:p w14:paraId="45287347">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39" w:name="_Toc31615"/>
            <w:bookmarkStart w:id="40" w:name="_Toc29130"/>
            <w:bookmarkStart w:id="41" w:name="_Toc4671"/>
            <w:bookmarkStart w:id="42" w:name="_Toc16459"/>
            <w:bookmarkStart w:id="43" w:name="_Toc17783"/>
            <w:bookmarkStart w:id="44" w:name="_Toc19753"/>
            <w:bookmarkStart w:id="45" w:name="_Toc16691"/>
            <w:bookmarkStart w:id="46" w:name="_Toc4742"/>
            <w:bookmarkStart w:id="47" w:name="_Toc13730"/>
            <w:bookmarkStart w:id="48" w:name="_Toc22697"/>
            <w:r>
              <w:rPr>
                <w:rFonts w:hint="default" w:ascii="Times New Roman" w:hAnsi="Times New Roman" w:cs="Times New Roman" w:eastAsiaTheme="minorEastAsia"/>
                <w:b w:val="0"/>
                <w:bCs/>
                <w:color w:val="auto"/>
                <w:kern w:val="0"/>
                <w:sz w:val="24"/>
                <w:szCs w:val="20"/>
                <w:lang w:val="en-US" w:eastAsia="zh-CN" w:bidi="ar"/>
              </w:rPr>
              <w:t>(1）地下水污染防治原则</w:t>
            </w:r>
            <w:bookmarkEnd w:id="39"/>
            <w:bookmarkEnd w:id="40"/>
          </w:p>
          <w:p w14:paraId="39350D89">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49" w:name="_Toc6378"/>
            <w:bookmarkStart w:id="50" w:name="_Toc19461"/>
            <w:r>
              <w:rPr>
                <w:rFonts w:hint="default" w:ascii="Times New Roman" w:hAnsi="Times New Roman" w:cs="Times New Roman" w:eastAsiaTheme="minorEastAsia"/>
                <w:b w:val="0"/>
                <w:bCs/>
                <w:color w:val="auto"/>
                <w:kern w:val="0"/>
                <w:sz w:val="24"/>
                <w:szCs w:val="20"/>
                <w:lang w:val="en-US" w:eastAsia="zh-CN" w:bidi="ar"/>
              </w:rPr>
              <w:t>根据地下水污染防治措施和对策，坚持“源头控制、分区防控、污染监控、</w:t>
            </w:r>
            <w:bookmarkEnd w:id="49"/>
            <w:bookmarkEnd w:id="50"/>
          </w:p>
          <w:p w14:paraId="03EE0EE0">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51" w:name="_Toc10196"/>
            <w:bookmarkStart w:id="52" w:name="_Toc141"/>
            <w:r>
              <w:rPr>
                <w:rFonts w:hint="default" w:ascii="Times New Roman" w:hAnsi="Times New Roman" w:cs="Times New Roman" w:eastAsiaTheme="minorEastAsia"/>
                <w:b w:val="0"/>
                <w:bCs/>
                <w:color w:val="auto"/>
                <w:kern w:val="0"/>
                <w:sz w:val="24"/>
                <w:szCs w:val="20"/>
                <w:lang w:val="en-US" w:eastAsia="zh-CN" w:bidi="ar"/>
              </w:rPr>
              <w:t>应急响应，重点突出饮用水水质安全”的原则。</w:t>
            </w:r>
            <w:bookmarkEnd w:id="51"/>
            <w:bookmarkEnd w:id="52"/>
          </w:p>
          <w:p w14:paraId="77AFE26C">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53" w:name="_Toc23680"/>
            <w:bookmarkStart w:id="54" w:name="_Toc22724"/>
            <w:r>
              <w:rPr>
                <w:rFonts w:hint="default" w:ascii="Times New Roman" w:hAnsi="Times New Roman" w:cs="Times New Roman" w:eastAsiaTheme="minorEastAsia"/>
                <w:b w:val="0"/>
                <w:bCs/>
                <w:color w:val="auto"/>
                <w:kern w:val="0"/>
                <w:sz w:val="24"/>
                <w:szCs w:val="20"/>
                <w:lang w:val="en-US" w:eastAsia="zh-CN" w:bidi="ar"/>
              </w:rPr>
              <w:t>1）源头控制措施</w:t>
            </w:r>
            <w:bookmarkEnd w:id="41"/>
            <w:bookmarkEnd w:id="42"/>
            <w:bookmarkEnd w:id="43"/>
            <w:bookmarkEnd w:id="44"/>
            <w:bookmarkEnd w:id="45"/>
            <w:bookmarkEnd w:id="46"/>
            <w:bookmarkEnd w:id="47"/>
            <w:bookmarkEnd w:id="48"/>
            <w:bookmarkEnd w:id="53"/>
            <w:bookmarkEnd w:id="54"/>
          </w:p>
          <w:p w14:paraId="26A3D16F">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55" w:name="_Toc22819"/>
            <w:bookmarkStart w:id="56" w:name="_Toc15823"/>
            <w:bookmarkStart w:id="57" w:name="_Toc13145"/>
            <w:bookmarkStart w:id="58" w:name="_Toc9196"/>
            <w:bookmarkStart w:id="59" w:name="_Toc2601"/>
            <w:bookmarkStart w:id="60" w:name="_Toc8501"/>
            <w:bookmarkStart w:id="61" w:name="_Toc1152"/>
            <w:bookmarkStart w:id="62" w:name="_Toc21109"/>
            <w:bookmarkStart w:id="63" w:name="_Toc21590"/>
            <w:bookmarkStart w:id="64" w:name="_Toc10182"/>
            <w:r>
              <w:rPr>
                <w:rFonts w:hint="default" w:ascii="Times New Roman" w:hAnsi="Times New Roman" w:cs="Times New Roman" w:eastAsiaTheme="minorEastAsia"/>
                <w:b w:val="0"/>
                <w:bCs/>
                <w:color w:val="auto"/>
                <w:kern w:val="0"/>
                <w:sz w:val="24"/>
                <w:szCs w:val="20"/>
                <w:lang w:val="en-US" w:eastAsia="zh-CN" w:bidi="ar"/>
              </w:rPr>
              <w:t>①项目应根据国家现行相关规范加强环境管理，采取防止和降低污染物跑、冒、滴、漏的措施。正常生产过程中应加强巡检及时处理污染物跑、冒、滴、漏，同时应加强对防渗工程的检查，若发现防渗密封材料老化或损坏，应及时维修更换：</w:t>
            </w:r>
            <w:bookmarkEnd w:id="55"/>
            <w:bookmarkEnd w:id="56"/>
            <w:bookmarkEnd w:id="57"/>
            <w:bookmarkEnd w:id="58"/>
            <w:bookmarkEnd w:id="59"/>
            <w:bookmarkEnd w:id="60"/>
            <w:bookmarkEnd w:id="61"/>
            <w:bookmarkEnd w:id="62"/>
            <w:bookmarkEnd w:id="63"/>
            <w:bookmarkEnd w:id="64"/>
          </w:p>
          <w:p w14:paraId="1C312231">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65" w:name="_Toc31489"/>
            <w:bookmarkStart w:id="66" w:name="_Toc23967"/>
            <w:bookmarkStart w:id="67" w:name="_Toc11342"/>
            <w:bookmarkStart w:id="68" w:name="_Toc12248"/>
            <w:bookmarkStart w:id="69" w:name="_Toc17119"/>
            <w:bookmarkStart w:id="70" w:name="_Toc2078"/>
            <w:bookmarkStart w:id="71" w:name="_Toc5964"/>
            <w:bookmarkStart w:id="72" w:name="_Toc29810"/>
            <w:bookmarkStart w:id="73" w:name="_Toc10554"/>
            <w:bookmarkStart w:id="74" w:name="_Toc2514"/>
            <w:r>
              <w:rPr>
                <w:rFonts w:hint="default" w:ascii="Times New Roman" w:hAnsi="Times New Roman" w:cs="Times New Roman" w:eastAsiaTheme="minorEastAsia"/>
                <w:b w:val="0"/>
                <w:bCs/>
                <w:color w:val="auto"/>
                <w:kern w:val="0"/>
                <w:sz w:val="24"/>
                <w:szCs w:val="20"/>
                <w:lang w:val="en-US" w:eastAsia="zh-CN" w:bidi="ar"/>
              </w:rPr>
              <w:t>②对工艺、设备、污水储存及处理构筑物采取控制措施，防止污染物的跑、冒、滴、漏，将污染物泄漏的环境风险事故降到最低限度。</w:t>
            </w:r>
            <w:bookmarkEnd w:id="65"/>
            <w:bookmarkEnd w:id="66"/>
            <w:bookmarkEnd w:id="67"/>
            <w:bookmarkEnd w:id="68"/>
            <w:bookmarkEnd w:id="69"/>
            <w:bookmarkEnd w:id="70"/>
            <w:bookmarkEnd w:id="71"/>
            <w:bookmarkEnd w:id="72"/>
            <w:bookmarkEnd w:id="73"/>
            <w:bookmarkEnd w:id="74"/>
          </w:p>
          <w:p w14:paraId="5CC75768">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75" w:name="_Toc25499"/>
            <w:bookmarkStart w:id="76" w:name="_Toc4378"/>
            <w:bookmarkStart w:id="77" w:name="_Toc5678"/>
            <w:bookmarkStart w:id="78" w:name="_Toc12547"/>
            <w:bookmarkStart w:id="79" w:name="_Toc22759"/>
            <w:bookmarkStart w:id="80" w:name="_Toc1829"/>
            <w:bookmarkStart w:id="81" w:name="_Toc125"/>
            <w:bookmarkStart w:id="82" w:name="_Toc987"/>
            <w:bookmarkStart w:id="83" w:name="_Toc24968"/>
            <w:bookmarkStart w:id="84" w:name="_Toc19434"/>
            <w:r>
              <w:rPr>
                <w:rFonts w:hint="default" w:ascii="Times New Roman" w:hAnsi="Times New Roman" w:cs="Times New Roman" w:eastAsiaTheme="minorEastAsia"/>
                <w:b w:val="0"/>
                <w:bCs/>
                <w:color w:val="auto"/>
                <w:kern w:val="0"/>
                <w:sz w:val="24"/>
                <w:szCs w:val="20"/>
                <w:lang w:val="en-US" w:eastAsia="zh-CN" w:bidi="ar"/>
              </w:rPr>
              <w:t>根据本评价分析，本项目实行“雨污分流、清污分流”，项目地面采用水泥硬化，并作防渗漏处理。</w:t>
            </w:r>
            <w:bookmarkEnd w:id="75"/>
            <w:bookmarkEnd w:id="76"/>
            <w:bookmarkEnd w:id="77"/>
            <w:bookmarkEnd w:id="78"/>
            <w:bookmarkEnd w:id="79"/>
            <w:bookmarkEnd w:id="80"/>
            <w:bookmarkEnd w:id="81"/>
            <w:bookmarkEnd w:id="82"/>
            <w:bookmarkEnd w:id="83"/>
            <w:bookmarkEnd w:id="84"/>
          </w:p>
          <w:p w14:paraId="583A5079">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85" w:name="_Toc1409"/>
            <w:bookmarkStart w:id="86" w:name="_Toc22803"/>
            <w:r>
              <w:rPr>
                <w:rFonts w:hint="default" w:ascii="Times New Roman" w:hAnsi="Times New Roman" w:cs="Times New Roman" w:eastAsiaTheme="minorEastAsia"/>
                <w:b w:val="0"/>
                <w:bCs/>
                <w:color w:val="auto"/>
                <w:kern w:val="0"/>
                <w:sz w:val="24"/>
                <w:szCs w:val="20"/>
                <w:lang w:val="en-US" w:eastAsia="zh-CN" w:bidi="ar"/>
              </w:rPr>
              <w:t>2）分区防治措施</w:t>
            </w:r>
            <w:bookmarkEnd w:id="85"/>
            <w:bookmarkEnd w:id="86"/>
          </w:p>
          <w:p w14:paraId="07A591BF">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87" w:name="_Toc21145"/>
            <w:bookmarkStart w:id="88" w:name="_Toc239"/>
            <w:r>
              <w:rPr>
                <w:rFonts w:hint="default" w:ascii="Times New Roman" w:hAnsi="Times New Roman" w:cs="Times New Roman" w:eastAsiaTheme="minorEastAsia"/>
                <w:b w:val="0"/>
                <w:bCs/>
                <w:color w:val="auto"/>
                <w:kern w:val="0"/>
                <w:sz w:val="24"/>
                <w:szCs w:val="20"/>
                <w:lang w:val="en-US" w:eastAsia="zh-CN" w:bidi="ar"/>
              </w:rPr>
              <w:t>将全厂按物料或者污染物泄漏的途径和生产功能单元所处的位置划分为重点防渗区、一般防渗区及简单防渗区地下水污染防治区域：</w:t>
            </w:r>
            <w:bookmarkEnd w:id="87"/>
            <w:bookmarkEnd w:id="88"/>
          </w:p>
          <w:p w14:paraId="5BA87FAF">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89" w:name="_Toc17174"/>
            <w:bookmarkStart w:id="90" w:name="_Toc24882"/>
            <w:r>
              <w:rPr>
                <w:rFonts w:hint="default" w:ascii="Times New Roman" w:hAnsi="Times New Roman" w:cs="Times New Roman" w:eastAsiaTheme="minorEastAsia"/>
                <w:b w:val="0"/>
                <w:bCs/>
                <w:color w:val="auto"/>
                <w:kern w:val="0"/>
                <w:sz w:val="24"/>
                <w:szCs w:val="20"/>
                <w:lang w:val="en-US" w:eastAsia="zh-CN" w:bidi="ar"/>
              </w:rPr>
              <w:t>重点防渗区：无；</w:t>
            </w:r>
            <w:bookmarkEnd w:id="89"/>
            <w:bookmarkEnd w:id="90"/>
          </w:p>
          <w:p w14:paraId="7840A4A3">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91" w:name="_Toc3508"/>
            <w:bookmarkStart w:id="92" w:name="_Toc12127"/>
            <w:r>
              <w:rPr>
                <w:rFonts w:hint="default" w:ascii="Times New Roman" w:hAnsi="Times New Roman" w:cs="Times New Roman" w:eastAsiaTheme="minorEastAsia"/>
                <w:b w:val="0"/>
                <w:bCs/>
                <w:color w:val="auto"/>
                <w:kern w:val="0"/>
                <w:sz w:val="24"/>
                <w:szCs w:val="20"/>
                <w:lang w:val="en-US" w:eastAsia="zh-CN" w:bidi="ar"/>
              </w:rPr>
              <w:t>一般防渗区：无。</w:t>
            </w:r>
            <w:bookmarkEnd w:id="91"/>
            <w:bookmarkEnd w:id="92"/>
          </w:p>
          <w:p w14:paraId="7FEC0FD2">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93" w:name="_Toc29304"/>
            <w:bookmarkStart w:id="94" w:name="_Toc4478"/>
            <w:r>
              <w:rPr>
                <w:rFonts w:hint="default" w:ascii="Times New Roman" w:hAnsi="Times New Roman" w:cs="Times New Roman" w:eastAsiaTheme="minorEastAsia"/>
                <w:b w:val="0"/>
                <w:bCs/>
                <w:color w:val="auto"/>
                <w:kern w:val="0"/>
                <w:sz w:val="24"/>
                <w:szCs w:val="20"/>
                <w:lang w:val="en-US" w:eastAsia="zh-CN" w:bidi="ar"/>
              </w:rPr>
              <w:t>简单防渗区：</w:t>
            </w:r>
            <w:r>
              <w:rPr>
                <w:rFonts w:hint="eastAsia" w:ascii="Times New Roman" w:hAnsi="Times New Roman" w:cs="Times New Roman"/>
                <w:b w:val="0"/>
                <w:bCs/>
                <w:color w:val="auto"/>
                <w:kern w:val="0"/>
                <w:sz w:val="24"/>
                <w:szCs w:val="20"/>
                <w:lang w:val="en-US" w:eastAsia="zh-CN" w:bidi="ar"/>
              </w:rPr>
              <w:t>本项目建筑垃圾堆场区</w:t>
            </w:r>
            <w:r>
              <w:rPr>
                <w:rFonts w:hint="default" w:ascii="Times New Roman" w:hAnsi="Times New Roman" w:cs="Times New Roman" w:eastAsiaTheme="minorEastAsia"/>
                <w:b w:val="0"/>
                <w:bCs/>
                <w:color w:val="auto"/>
                <w:kern w:val="0"/>
                <w:sz w:val="24"/>
                <w:szCs w:val="20"/>
                <w:lang w:val="en-US" w:eastAsia="zh-CN" w:bidi="ar"/>
              </w:rPr>
              <w:t>不需要采取特别防渗措施，仅需地面硬化。本项目堆场均对地面进行硬化处置，符合防渗要求。</w:t>
            </w:r>
            <w:bookmarkEnd w:id="93"/>
            <w:bookmarkEnd w:id="94"/>
          </w:p>
          <w:p w14:paraId="27CE2568">
            <w:pPr>
              <w:pStyle w:val="69"/>
              <w:keepNext w:val="0"/>
              <w:keepLines w:val="0"/>
              <w:numPr>
                <w:ilvl w:val="0"/>
                <w:numId w:val="0"/>
              </w:numPr>
              <w:suppressLineNumbers w:val="0"/>
              <w:spacing w:before="0" w:beforeAutospacing="0" w:after="0" w:afterAutospacing="0"/>
              <w:ind w:left="0" w:leftChars="0" w:right="0" w:rightChars="0" w:firstLine="480" w:firstLineChars="200"/>
              <w:outlineLvl w:val="9"/>
              <w:rPr>
                <w:rFonts w:hint="default" w:ascii="Times New Roman" w:hAnsi="Times New Roman" w:cs="Times New Roman" w:eastAsiaTheme="minorEastAsia"/>
                <w:b w:val="0"/>
                <w:bCs/>
                <w:color w:val="auto"/>
                <w:kern w:val="0"/>
                <w:sz w:val="24"/>
                <w:szCs w:val="20"/>
                <w:lang w:val="en-US" w:eastAsia="zh-CN" w:bidi="ar"/>
              </w:rPr>
            </w:pPr>
            <w:bookmarkStart w:id="95" w:name="_Toc22174"/>
            <w:bookmarkStart w:id="96" w:name="_Toc3521"/>
            <w:r>
              <w:rPr>
                <w:rFonts w:hint="default" w:ascii="Times New Roman" w:hAnsi="Times New Roman" w:cs="Times New Roman" w:eastAsiaTheme="minorEastAsia"/>
                <w:b w:val="0"/>
                <w:bCs/>
                <w:color w:val="auto"/>
                <w:kern w:val="0"/>
                <w:sz w:val="24"/>
                <w:szCs w:val="20"/>
                <w:lang w:val="en-US" w:eastAsia="zh-CN" w:bidi="ar"/>
              </w:rPr>
              <w:t>3）应急响应</w:t>
            </w:r>
            <w:bookmarkEnd w:id="95"/>
            <w:bookmarkEnd w:id="96"/>
          </w:p>
          <w:p w14:paraId="32FDB165">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97" w:name="_Toc4210"/>
            <w:bookmarkStart w:id="98" w:name="_Toc22747"/>
            <w:r>
              <w:rPr>
                <w:rFonts w:hint="default" w:ascii="Times New Roman" w:hAnsi="Times New Roman" w:cs="Times New Roman" w:eastAsiaTheme="minorEastAsia"/>
                <w:b w:val="0"/>
                <w:bCs/>
                <w:color w:val="auto"/>
                <w:kern w:val="0"/>
                <w:sz w:val="24"/>
                <w:szCs w:val="20"/>
                <w:lang w:val="en-US" w:eastAsia="zh-CN" w:bidi="ar"/>
              </w:rPr>
              <w:t>地下水污染事故纳入全公司的应急体系管理之中，</w:t>
            </w:r>
            <w:bookmarkEnd w:id="97"/>
            <w:bookmarkEnd w:id="98"/>
          </w:p>
          <w:p w14:paraId="4CF713B5">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99" w:name="_Toc153"/>
            <w:bookmarkStart w:id="100" w:name="_Toc5965"/>
            <w:r>
              <w:rPr>
                <w:rFonts w:hint="default" w:ascii="Times New Roman" w:hAnsi="Times New Roman" w:cs="Times New Roman" w:eastAsiaTheme="minorEastAsia"/>
                <w:b w:val="0"/>
                <w:bCs/>
                <w:color w:val="auto"/>
                <w:kern w:val="0"/>
                <w:sz w:val="24"/>
                <w:szCs w:val="20"/>
                <w:lang w:val="en-US" w:eastAsia="zh-CN" w:bidi="ar"/>
              </w:rPr>
              <w:t>在事故发生时，应按分级程序快速切断泄露源，并通报相关责任人和单位找出泄露地点，采取相应的环境污染处置事故，直至污染事故的消除，在消除事故后撤销污染事故的应急状态，</w:t>
            </w:r>
            <w:bookmarkEnd w:id="99"/>
            <w:bookmarkEnd w:id="100"/>
          </w:p>
          <w:p w14:paraId="2B419D9F">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bookmarkStart w:id="101" w:name="_Toc3695"/>
            <w:bookmarkStart w:id="102" w:name="_Toc13800"/>
            <w:r>
              <w:rPr>
                <w:rFonts w:hint="default" w:ascii="Times New Roman" w:hAnsi="Times New Roman" w:cs="Times New Roman" w:eastAsiaTheme="minorEastAsia"/>
                <w:b w:val="0"/>
                <w:bCs/>
                <w:color w:val="auto"/>
                <w:kern w:val="0"/>
                <w:sz w:val="24"/>
                <w:szCs w:val="20"/>
                <w:lang w:val="en-US" w:eastAsia="zh-CN" w:bidi="ar"/>
              </w:rPr>
              <w:t>公司应编制应急预案，完善厂内应急机构及体系，合理配备人员，满足项目地下水污染事故应急预案的要求。</w:t>
            </w:r>
            <w:bookmarkEnd w:id="101"/>
            <w:bookmarkEnd w:id="102"/>
          </w:p>
          <w:p w14:paraId="0CE0F75E">
            <w:pPr>
              <w:pStyle w:val="24"/>
              <w:keepNext w:val="0"/>
              <w:keepLines w:val="0"/>
              <w:numPr>
                <w:ilvl w:val="0"/>
                <w:numId w:val="5"/>
              </w:numPr>
              <w:suppressLineNumbers w:val="0"/>
              <w:spacing w:before="0" w:beforeAutospacing="0" w:after="0" w:afterAutospacing="0" w:line="360" w:lineRule="auto"/>
              <w:ind w:left="420" w:leftChars="200" w:right="0"/>
              <w:rPr>
                <w:rFonts w:hint="eastAsia" w:cs="Times New Roman" w:asciiTheme="minorHAnsi" w:hAnsiTheme="minorHAnsi"/>
                <w:b/>
                <w:bCs/>
                <w:color w:val="auto"/>
                <w:kern w:val="0"/>
                <w:sz w:val="24"/>
                <w:szCs w:val="20"/>
                <w:lang w:val="en-US" w:eastAsia="zh-CN" w:bidi="ar"/>
              </w:rPr>
            </w:pPr>
            <w:r>
              <w:rPr>
                <w:rFonts w:hint="eastAsia" w:cs="Times New Roman" w:asciiTheme="minorHAnsi" w:hAnsiTheme="minorHAnsi"/>
                <w:b/>
                <w:bCs/>
                <w:color w:val="auto"/>
                <w:kern w:val="0"/>
                <w:sz w:val="24"/>
                <w:szCs w:val="20"/>
                <w:lang w:val="en-US" w:eastAsia="zh-CN" w:bidi="ar"/>
              </w:rPr>
              <w:t>生态环境分析</w:t>
            </w:r>
          </w:p>
          <w:p w14:paraId="511347C8">
            <w:pPr>
              <w:pStyle w:val="69"/>
              <w:keepNext w:val="0"/>
              <w:keepLines w:val="0"/>
              <w:suppressLineNumbers w:val="0"/>
              <w:spacing w:before="0" w:beforeAutospacing="0" w:after="0" w:afterAutospacing="0"/>
              <w:ind w:left="0" w:right="0" w:firstLine="420"/>
              <w:outlineLvl w:val="9"/>
              <w:rPr>
                <w:rFonts w:hint="default" w:ascii="Times New Roman" w:hAnsi="Times New Roman" w:cs="Times New Roman" w:eastAsiaTheme="minorEastAsia"/>
                <w:b w:val="0"/>
                <w:bCs/>
                <w:color w:val="auto"/>
                <w:kern w:val="0"/>
                <w:sz w:val="24"/>
                <w:szCs w:val="20"/>
                <w:lang w:val="en-US" w:eastAsia="zh-CN" w:bidi="ar"/>
              </w:rPr>
            </w:pPr>
            <w:r>
              <w:rPr>
                <w:rFonts w:hint="default" w:ascii="Times New Roman" w:hAnsi="Times New Roman" w:cs="Times New Roman" w:eastAsiaTheme="minorEastAsia"/>
                <w:b w:val="0"/>
                <w:bCs/>
                <w:color w:val="auto"/>
                <w:kern w:val="0"/>
                <w:sz w:val="24"/>
                <w:szCs w:val="20"/>
                <w:lang w:val="en-US" w:eastAsia="zh-CN" w:bidi="ar"/>
              </w:rPr>
              <w:t>本项目利用现有厂房进行建设，不新增用地，用地性质为工业用地，目前周边主要为</w:t>
            </w:r>
            <w:r>
              <w:rPr>
                <w:rFonts w:hint="eastAsia" w:ascii="Times New Roman" w:hAnsi="Times New Roman" w:cs="Times New Roman"/>
                <w:b w:val="0"/>
                <w:bCs/>
                <w:color w:val="auto"/>
                <w:kern w:val="0"/>
                <w:sz w:val="24"/>
                <w:szCs w:val="20"/>
                <w:lang w:val="en-US" w:eastAsia="zh-CN" w:bidi="ar"/>
              </w:rPr>
              <w:t>村庄</w:t>
            </w:r>
            <w:r>
              <w:rPr>
                <w:rFonts w:hint="default" w:ascii="Times New Roman" w:hAnsi="Times New Roman" w:cs="Times New Roman" w:eastAsiaTheme="minorEastAsia"/>
                <w:b w:val="0"/>
                <w:bCs/>
                <w:color w:val="auto"/>
                <w:kern w:val="0"/>
                <w:sz w:val="24"/>
                <w:szCs w:val="20"/>
                <w:lang w:val="en-US" w:eastAsia="zh-CN" w:bidi="ar"/>
              </w:rPr>
              <w:t>、</w:t>
            </w:r>
            <w:r>
              <w:rPr>
                <w:rFonts w:hint="eastAsia" w:ascii="Times New Roman" w:hAnsi="Times New Roman" w:cs="Times New Roman"/>
                <w:b w:val="0"/>
                <w:bCs/>
                <w:color w:val="auto"/>
                <w:kern w:val="0"/>
                <w:sz w:val="24"/>
                <w:szCs w:val="20"/>
                <w:lang w:val="en-US" w:eastAsia="zh-CN" w:bidi="ar"/>
              </w:rPr>
              <w:t>林地</w:t>
            </w:r>
            <w:r>
              <w:rPr>
                <w:rFonts w:hint="default" w:ascii="Times New Roman" w:hAnsi="Times New Roman" w:cs="Times New Roman" w:eastAsiaTheme="minorEastAsia"/>
                <w:b w:val="0"/>
                <w:bCs/>
                <w:color w:val="auto"/>
                <w:kern w:val="0"/>
                <w:sz w:val="24"/>
                <w:szCs w:val="20"/>
                <w:lang w:val="en-US" w:eastAsia="zh-CN" w:bidi="ar"/>
              </w:rPr>
              <w:t>等，无</w:t>
            </w:r>
            <w:r>
              <w:rPr>
                <w:rFonts w:hint="eastAsia" w:ascii="Times New Roman" w:hAnsi="Times New Roman" w:cs="Times New Roman"/>
                <w:b w:val="0"/>
                <w:bCs/>
                <w:color w:val="auto"/>
                <w:kern w:val="0"/>
                <w:sz w:val="24"/>
                <w:szCs w:val="20"/>
                <w:lang w:val="en-US" w:eastAsia="zh-CN" w:bidi="ar"/>
              </w:rPr>
              <w:t>重</w:t>
            </w:r>
            <w:r>
              <w:rPr>
                <w:rFonts w:hint="default" w:ascii="Times New Roman" w:hAnsi="Times New Roman" w:cs="Times New Roman" w:eastAsiaTheme="minorEastAsia"/>
                <w:b w:val="0"/>
                <w:bCs/>
                <w:color w:val="auto"/>
                <w:kern w:val="0"/>
                <w:sz w:val="24"/>
                <w:szCs w:val="20"/>
                <w:lang w:val="en-US" w:eastAsia="zh-CN" w:bidi="ar"/>
              </w:rPr>
              <w:t>点保护的野生动植物、风景名胜区、自然保护区及文化遗产等特殊保护目标，因此项目建设不会对生态环境产生明显的</w:t>
            </w:r>
            <w:r>
              <w:rPr>
                <w:rFonts w:hint="eastAsia" w:ascii="Times New Roman" w:hAnsi="Times New Roman" w:cs="Times New Roman"/>
                <w:b w:val="0"/>
                <w:bCs/>
                <w:color w:val="auto"/>
                <w:kern w:val="0"/>
                <w:sz w:val="24"/>
                <w:szCs w:val="20"/>
                <w:lang w:val="en-US" w:eastAsia="zh-CN" w:bidi="ar"/>
              </w:rPr>
              <w:t>影响。</w:t>
            </w:r>
          </w:p>
          <w:p w14:paraId="2CF32261">
            <w:pPr>
              <w:pStyle w:val="24"/>
              <w:keepNext w:val="0"/>
              <w:keepLines w:val="0"/>
              <w:suppressLineNumbers w:val="0"/>
              <w:spacing w:before="0" w:beforeAutospacing="0" w:after="0" w:afterAutospacing="0" w:line="360" w:lineRule="auto"/>
              <w:ind w:left="420" w:leftChars="200" w:right="0"/>
              <w:rPr>
                <w:rFonts w:hint="default" w:cs="Times New Roman" w:asciiTheme="minorHAnsi" w:hAnsiTheme="minorHAnsi" w:eastAsiaTheme="minorEastAsia"/>
                <w:b/>
                <w:bCs/>
                <w:color w:val="auto"/>
                <w:kern w:val="0"/>
                <w:sz w:val="24"/>
                <w:szCs w:val="20"/>
                <w:lang w:val="en-US" w:eastAsia="zh-CN" w:bidi="ar"/>
              </w:rPr>
            </w:pPr>
            <w:r>
              <w:rPr>
                <w:rFonts w:hint="eastAsia" w:cs="Times New Roman" w:asciiTheme="minorHAnsi" w:hAnsiTheme="minorHAnsi"/>
                <w:b/>
                <w:bCs/>
                <w:color w:val="auto"/>
                <w:kern w:val="0"/>
                <w:sz w:val="24"/>
                <w:szCs w:val="20"/>
                <w:lang w:val="en-US" w:eastAsia="zh-CN" w:bidi="ar"/>
              </w:rPr>
              <w:t>八</w:t>
            </w:r>
            <w:r>
              <w:rPr>
                <w:rFonts w:hint="default" w:cs="Times New Roman" w:asciiTheme="minorHAnsi" w:hAnsiTheme="minorHAnsi" w:eastAsiaTheme="minorEastAsia"/>
                <w:b/>
                <w:bCs/>
                <w:color w:val="auto"/>
                <w:kern w:val="0"/>
                <w:sz w:val="24"/>
                <w:szCs w:val="20"/>
                <w:lang w:val="en-US" w:eastAsia="zh-CN" w:bidi="ar"/>
              </w:rPr>
              <w:t>、环境风险分析</w:t>
            </w:r>
          </w:p>
          <w:p w14:paraId="7F04E2F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 xml:space="preserve"> （1）风险物质识别</w:t>
            </w:r>
          </w:p>
          <w:p w14:paraId="3D6C890E">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根据《建设项目环境风险评价技术导则》（HJ/T169-2018）和《环境风险评估技术指南（试行）》对环境风险进行分级，当企业存在多种环境风险物质时，则按下式计算物质数量与其临界量比值（Q）：</w:t>
            </w:r>
          </w:p>
          <w:p w14:paraId="06ED3D85">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m:oMathPara>
              <m:oMath>
                <m:r>
                  <m:rPr>
                    <m:sty m:val="p"/>
                  </m:rPr>
                  <w:rPr>
                    <w:rFonts w:hint="default" w:ascii="Cambria Math" w:hAnsi="Cambria Math" w:cs="Times New Roman" w:eastAsiaTheme="minorEastAsia"/>
                    <w:color w:val="auto"/>
                    <w:kern w:val="0"/>
                    <w:sz w:val="24"/>
                    <w:szCs w:val="20"/>
                    <w:lang w:val="en-US" w:eastAsia="zh-CN" w:bidi="ar"/>
                  </w:rPr>
                  <m:t>Q=</m:t>
                </m:r>
                <m:f>
                  <m:fPr>
                    <m:ctrlPr>
                      <w:rPr>
                        <w:rFonts w:hint="default" w:ascii="Cambria Math" w:hAnsi="Cambria Math" w:cs="Times New Roman" w:eastAsiaTheme="minorEastAsia"/>
                        <w:color w:val="auto"/>
                        <w:kern w:val="0"/>
                        <w:sz w:val="24"/>
                        <w:szCs w:val="20"/>
                        <w:lang w:val="en-US" w:eastAsia="zh-CN" w:bidi="ar"/>
                      </w:rPr>
                    </m:ctrlPr>
                  </m:fPr>
                  <m:num>
                    <m:sSub>
                      <m:sSubPr>
                        <m:ctrlPr>
                          <w:rPr>
                            <w:rFonts w:hint="default" w:ascii="Cambria Math" w:hAnsi="Cambria Math" w:cs="Times New Roman" w:eastAsiaTheme="minorEastAsia"/>
                            <w:color w:val="auto"/>
                            <w:kern w:val="0"/>
                            <w:sz w:val="24"/>
                            <w:szCs w:val="20"/>
                            <w:lang w:val="en-US" w:eastAsia="zh-CN" w:bidi="ar"/>
                          </w:rPr>
                        </m:ctrlPr>
                      </m:sSubPr>
                      <m:e>
                        <m:r>
                          <m:rPr>
                            <m:sty m:val="p"/>
                          </m:rPr>
                          <w:rPr>
                            <w:rFonts w:hint="default" w:ascii="Cambria Math" w:hAnsi="Cambria Math" w:cs="Times New Roman" w:eastAsiaTheme="minorEastAsia"/>
                            <w:color w:val="auto"/>
                            <w:kern w:val="0"/>
                            <w:sz w:val="24"/>
                            <w:szCs w:val="20"/>
                            <w:lang w:val="en-US" w:eastAsia="zh-CN" w:bidi="ar"/>
                          </w:rPr>
                          <m:t>q</m:t>
                        </m:r>
                        <m:ctrlPr>
                          <w:rPr>
                            <w:rFonts w:hint="default" w:ascii="Cambria Math" w:hAnsi="Cambria Math" w:cs="Times New Roman" w:eastAsiaTheme="minorEastAsia"/>
                            <w:color w:val="auto"/>
                            <w:kern w:val="0"/>
                            <w:sz w:val="24"/>
                            <w:szCs w:val="20"/>
                            <w:lang w:val="en-US" w:eastAsia="zh-CN" w:bidi="ar"/>
                          </w:rPr>
                        </m:ctrlPr>
                      </m:e>
                      <m:sub>
                        <m:r>
                          <m:rPr>
                            <m:sty m:val="p"/>
                          </m:rPr>
                          <w:rPr>
                            <w:rFonts w:hint="default" w:ascii="Cambria Math" w:hAnsi="Cambria Math" w:cs="Times New Roman" w:eastAsiaTheme="minorEastAsia"/>
                            <w:color w:val="auto"/>
                            <w:kern w:val="0"/>
                            <w:sz w:val="24"/>
                            <w:szCs w:val="20"/>
                            <w:lang w:val="en-US" w:eastAsia="zh-CN" w:bidi="ar"/>
                          </w:rPr>
                          <m:t>1</m:t>
                        </m:r>
                        <m:ctrlPr>
                          <w:rPr>
                            <w:rFonts w:hint="default" w:ascii="Cambria Math" w:hAnsi="Cambria Math" w:cs="Times New Roman" w:eastAsiaTheme="minorEastAsia"/>
                            <w:color w:val="auto"/>
                            <w:kern w:val="0"/>
                            <w:sz w:val="24"/>
                            <w:szCs w:val="20"/>
                            <w:lang w:val="en-US" w:eastAsia="zh-CN" w:bidi="ar"/>
                          </w:rPr>
                        </m:ctrlPr>
                      </m:sub>
                    </m:sSub>
                    <m:ctrlPr>
                      <w:rPr>
                        <w:rFonts w:hint="default" w:ascii="Cambria Math" w:hAnsi="Cambria Math" w:cs="Times New Roman" w:eastAsiaTheme="minorEastAsia"/>
                        <w:color w:val="auto"/>
                        <w:kern w:val="0"/>
                        <w:sz w:val="24"/>
                        <w:szCs w:val="20"/>
                        <w:lang w:val="en-US" w:eastAsia="zh-CN" w:bidi="ar"/>
                      </w:rPr>
                    </m:ctrlPr>
                  </m:num>
                  <m:den>
                    <m:sSub>
                      <m:sSubPr>
                        <m:ctrlPr>
                          <w:rPr>
                            <w:rFonts w:hint="default" w:ascii="Cambria Math" w:hAnsi="Cambria Math" w:cs="Times New Roman" w:eastAsiaTheme="minorEastAsia"/>
                            <w:color w:val="auto"/>
                            <w:kern w:val="0"/>
                            <w:sz w:val="24"/>
                            <w:szCs w:val="20"/>
                            <w:lang w:val="en-US" w:eastAsia="zh-CN" w:bidi="ar"/>
                          </w:rPr>
                        </m:ctrlPr>
                      </m:sSubPr>
                      <m:e>
                        <m:r>
                          <m:rPr>
                            <m:sty m:val="p"/>
                          </m:rPr>
                          <w:rPr>
                            <w:rFonts w:hint="default" w:ascii="Cambria Math" w:hAnsi="Cambria Math" w:cs="Times New Roman" w:eastAsiaTheme="minorEastAsia"/>
                            <w:color w:val="auto"/>
                            <w:kern w:val="0"/>
                            <w:sz w:val="24"/>
                            <w:szCs w:val="20"/>
                            <w:lang w:val="en-US" w:eastAsia="zh-CN" w:bidi="ar"/>
                          </w:rPr>
                          <m:t>Q</m:t>
                        </m:r>
                        <m:ctrlPr>
                          <w:rPr>
                            <w:rFonts w:hint="default" w:ascii="Cambria Math" w:hAnsi="Cambria Math" w:cs="Times New Roman" w:eastAsiaTheme="minorEastAsia"/>
                            <w:color w:val="auto"/>
                            <w:kern w:val="0"/>
                            <w:sz w:val="24"/>
                            <w:szCs w:val="20"/>
                            <w:lang w:val="en-US" w:eastAsia="zh-CN" w:bidi="ar"/>
                          </w:rPr>
                        </m:ctrlPr>
                      </m:e>
                      <m:sub>
                        <m:r>
                          <m:rPr>
                            <m:sty m:val="p"/>
                          </m:rPr>
                          <w:rPr>
                            <w:rFonts w:hint="default" w:ascii="Cambria Math" w:hAnsi="Cambria Math" w:cs="Times New Roman" w:eastAsiaTheme="minorEastAsia"/>
                            <w:color w:val="auto"/>
                            <w:kern w:val="0"/>
                            <w:sz w:val="24"/>
                            <w:szCs w:val="20"/>
                            <w:lang w:val="en-US" w:eastAsia="zh-CN" w:bidi="ar"/>
                          </w:rPr>
                          <m:t>1</m:t>
                        </m:r>
                        <m:ctrlPr>
                          <w:rPr>
                            <w:rFonts w:hint="default" w:ascii="Cambria Math" w:hAnsi="Cambria Math" w:cs="Times New Roman" w:eastAsiaTheme="minorEastAsia"/>
                            <w:color w:val="auto"/>
                            <w:kern w:val="0"/>
                            <w:sz w:val="24"/>
                            <w:szCs w:val="20"/>
                            <w:lang w:val="en-US" w:eastAsia="zh-CN" w:bidi="ar"/>
                          </w:rPr>
                        </m:ctrlPr>
                      </m:sub>
                    </m:sSub>
                    <m:ctrlPr>
                      <w:rPr>
                        <w:rFonts w:hint="default" w:ascii="Cambria Math" w:hAnsi="Cambria Math" w:cs="Times New Roman" w:eastAsiaTheme="minorEastAsia"/>
                        <w:color w:val="auto"/>
                        <w:kern w:val="0"/>
                        <w:sz w:val="24"/>
                        <w:szCs w:val="20"/>
                        <w:lang w:val="en-US" w:eastAsia="zh-CN" w:bidi="ar"/>
                      </w:rPr>
                    </m:ctrlPr>
                  </m:den>
                </m:f>
                <m:r>
                  <m:rPr>
                    <m:sty m:val="p"/>
                  </m:rPr>
                  <w:rPr>
                    <w:rFonts w:hint="default" w:ascii="Cambria Math" w:hAnsi="Cambria Math" w:cs="Times New Roman" w:eastAsiaTheme="minorEastAsia"/>
                    <w:color w:val="auto"/>
                    <w:kern w:val="0"/>
                    <w:sz w:val="24"/>
                    <w:szCs w:val="20"/>
                    <w:lang w:val="en-US" w:eastAsia="zh-CN" w:bidi="ar"/>
                  </w:rPr>
                  <m:t>+</m:t>
                </m:r>
                <m:f>
                  <m:fPr>
                    <m:ctrlPr>
                      <w:rPr>
                        <w:rFonts w:hint="default" w:ascii="Cambria Math" w:hAnsi="Cambria Math" w:cs="Times New Roman" w:eastAsiaTheme="minorEastAsia"/>
                        <w:color w:val="auto"/>
                        <w:kern w:val="0"/>
                        <w:sz w:val="24"/>
                        <w:szCs w:val="20"/>
                        <w:lang w:val="en-US" w:eastAsia="zh-CN" w:bidi="ar"/>
                      </w:rPr>
                    </m:ctrlPr>
                  </m:fPr>
                  <m:num>
                    <m:sSub>
                      <m:sSubPr>
                        <m:ctrlPr>
                          <w:rPr>
                            <w:rFonts w:hint="default" w:ascii="Cambria Math" w:hAnsi="Cambria Math" w:cs="Times New Roman" w:eastAsiaTheme="minorEastAsia"/>
                            <w:color w:val="auto"/>
                            <w:kern w:val="0"/>
                            <w:sz w:val="24"/>
                            <w:szCs w:val="20"/>
                            <w:lang w:val="en-US" w:eastAsia="zh-CN" w:bidi="ar"/>
                          </w:rPr>
                        </m:ctrlPr>
                      </m:sSubPr>
                      <m:e>
                        <m:r>
                          <m:rPr>
                            <m:sty m:val="p"/>
                          </m:rPr>
                          <w:rPr>
                            <w:rFonts w:hint="default" w:ascii="Cambria Math" w:hAnsi="Cambria Math" w:cs="Times New Roman" w:eastAsiaTheme="minorEastAsia"/>
                            <w:color w:val="auto"/>
                            <w:kern w:val="0"/>
                            <w:sz w:val="24"/>
                            <w:szCs w:val="20"/>
                            <w:lang w:val="en-US" w:eastAsia="zh-CN" w:bidi="ar"/>
                          </w:rPr>
                          <m:t>q</m:t>
                        </m:r>
                        <m:ctrlPr>
                          <w:rPr>
                            <w:rFonts w:hint="default" w:ascii="Cambria Math" w:hAnsi="Cambria Math" w:cs="Times New Roman" w:eastAsiaTheme="minorEastAsia"/>
                            <w:color w:val="auto"/>
                            <w:kern w:val="0"/>
                            <w:sz w:val="24"/>
                            <w:szCs w:val="20"/>
                            <w:lang w:val="en-US" w:eastAsia="zh-CN" w:bidi="ar"/>
                          </w:rPr>
                        </m:ctrlPr>
                      </m:e>
                      <m:sub>
                        <m:r>
                          <m:rPr>
                            <m:sty m:val="p"/>
                          </m:rPr>
                          <w:rPr>
                            <w:rFonts w:hint="default" w:ascii="Cambria Math" w:hAnsi="Cambria Math" w:cs="Times New Roman" w:eastAsiaTheme="minorEastAsia"/>
                            <w:color w:val="auto"/>
                            <w:kern w:val="0"/>
                            <w:sz w:val="24"/>
                            <w:szCs w:val="20"/>
                            <w:lang w:val="en-US" w:eastAsia="zh-CN" w:bidi="ar"/>
                          </w:rPr>
                          <m:t>2</m:t>
                        </m:r>
                        <m:ctrlPr>
                          <w:rPr>
                            <w:rFonts w:hint="default" w:ascii="Cambria Math" w:hAnsi="Cambria Math" w:cs="Times New Roman" w:eastAsiaTheme="minorEastAsia"/>
                            <w:color w:val="auto"/>
                            <w:kern w:val="0"/>
                            <w:sz w:val="24"/>
                            <w:szCs w:val="20"/>
                            <w:lang w:val="en-US" w:eastAsia="zh-CN" w:bidi="ar"/>
                          </w:rPr>
                        </m:ctrlPr>
                      </m:sub>
                    </m:sSub>
                    <m:ctrlPr>
                      <w:rPr>
                        <w:rFonts w:hint="default" w:ascii="Cambria Math" w:hAnsi="Cambria Math" w:cs="Times New Roman" w:eastAsiaTheme="minorEastAsia"/>
                        <w:color w:val="auto"/>
                        <w:kern w:val="0"/>
                        <w:sz w:val="24"/>
                        <w:szCs w:val="20"/>
                        <w:lang w:val="en-US" w:eastAsia="zh-CN" w:bidi="ar"/>
                      </w:rPr>
                    </m:ctrlPr>
                  </m:num>
                  <m:den>
                    <m:sSub>
                      <m:sSubPr>
                        <m:ctrlPr>
                          <w:rPr>
                            <w:rFonts w:hint="default" w:ascii="Cambria Math" w:hAnsi="Cambria Math" w:cs="Times New Roman" w:eastAsiaTheme="minorEastAsia"/>
                            <w:color w:val="auto"/>
                            <w:kern w:val="0"/>
                            <w:sz w:val="24"/>
                            <w:szCs w:val="20"/>
                            <w:lang w:val="en-US" w:eastAsia="zh-CN" w:bidi="ar"/>
                          </w:rPr>
                        </m:ctrlPr>
                      </m:sSubPr>
                      <m:e>
                        <m:r>
                          <m:rPr>
                            <m:sty m:val="p"/>
                          </m:rPr>
                          <w:rPr>
                            <w:rFonts w:hint="default" w:ascii="Cambria Math" w:hAnsi="Cambria Math" w:cs="Times New Roman" w:eastAsiaTheme="minorEastAsia"/>
                            <w:color w:val="auto"/>
                            <w:kern w:val="0"/>
                            <w:sz w:val="24"/>
                            <w:szCs w:val="20"/>
                            <w:lang w:val="en-US" w:eastAsia="zh-CN" w:bidi="ar"/>
                          </w:rPr>
                          <m:t>Q</m:t>
                        </m:r>
                        <m:ctrlPr>
                          <w:rPr>
                            <w:rFonts w:hint="default" w:ascii="Cambria Math" w:hAnsi="Cambria Math" w:cs="Times New Roman" w:eastAsiaTheme="minorEastAsia"/>
                            <w:color w:val="auto"/>
                            <w:kern w:val="0"/>
                            <w:sz w:val="24"/>
                            <w:szCs w:val="20"/>
                            <w:lang w:val="en-US" w:eastAsia="zh-CN" w:bidi="ar"/>
                          </w:rPr>
                        </m:ctrlPr>
                      </m:e>
                      <m:sub>
                        <m:r>
                          <m:rPr>
                            <m:sty m:val="p"/>
                          </m:rPr>
                          <w:rPr>
                            <w:rFonts w:hint="default" w:ascii="Cambria Math" w:hAnsi="Cambria Math" w:cs="Times New Roman" w:eastAsiaTheme="minorEastAsia"/>
                            <w:color w:val="auto"/>
                            <w:kern w:val="0"/>
                            <w:sz w:val="24"/>
                            <w:szCs w:val="20"/>
                            <w:lang w:val="en-US" w:eastAsia="zh-CN" w:bidi="ar"/>
                          </w:rPr>
                          <m:t>2</m:t>
                        </m:r>
                        <m:ctrlPr>
                          <w:rPr>
                            <w:rFonts w:hint="default" w:ascii="Cambria Math" w:hAnsi="Cambria Math" w:cs="Times New Roman" w:eastAsiaTheme="minorEastAsia"/>
                            <w:color w:val="auto"/>
                            <w:kern w:val="0"/>
                            <w:sz w:val="24"/>
                            <w:szCs w:val="20"/>
                            <w:lang w:val="en-US" w:eastAsia="zh-CN" w:bidi="ar"/>
                          </w:rPr>
                        </m:ctrlPr>
                      </m:sub>
                    </m:sSub>
                    <m:ctrlPr>
                      <w:rPr>
                        <w:rFonts w:hint="default" w:ascii="Cambria Math" w:hAnsi="Cambria Math" w:cs="Times New Roman" w:eastAsiaTheme="minorEastAsia"/>
                        <w:color w:val="auto"/>
                        <w:kern w:val="0"/>
                        <w:sz w:val="24"/>
                        <w:szCs w:val="20"/>
                        <w:lang w:val="en-US" w:eastAsia="zh-CN" w:bidi="ar"/>
                      </w:rPr>
                    </m:ctrlPr>
                  </m:den>
                </m:f>
                <m:r>
                  <m:rPr>
                    <m:sty m:val="p"/>
                  </m:rPr>
                  <w:rPr>
                    <w:rFonts w:hint="default" w:ascii="Cambria Math" w:hAnsi="Cambria Math" w:cs="Times New Roman" w:eastAsiaTheme="minorEastAsia"/>
                    <w:color w:val="auto"/>
                    <w:kern w:val="0"/>
                    <w:sz w:val="24"/>
                    <w:szCs w:val="20"/>
                    <w:lang w:val="en-US" w:eastAsia="zh-CN" w:bidi="ar"/>
                  </w:rPr>
                  <m:t>+⋯</m:t>
                </m:r>
                <m:f>
                  <m:fPr>
                    <m:ctrlPr>
                      <w:rPr>
                        <w:rFonts w:hint="default" w:ascii="Cambria Math" w:hAnsi="Cambria Math" w:cs="Times New Roman" w:eastAsiaTheme="minorEastAsia"/>
                        <w:color w:val="auto"/>
                        <w:kern w:val="0"/>
                        <w:sz w:val="24"/>
                        <w:szCs w:val="20"/>
                        <w:lang w:val="en-US" w:eastAsia="zh-CN" w:bidi="ar"/>
                      </w:rPr>
                    </m:ctrlPr>
                  </m:fPr>
                  <m:num>
                    <m:sSub>
                      <m:sSubPr>
                        <m:ctrlPr>
                          <w:rPr>
                            <w:rFonts w:hint="default" w:ascii="Cambria Math" w:hAnsi="Cambria Math" w:cs="Times New Roman" w:eastAsiaTheme="minorEastAsia"/>
                            <w:color w:val="auto"/>
                            <w:kern w:val="0"/>
                            <w:sz w:val="24"/>
                            <w:szCs w:val="20"/>
                            <w:lang w:val="en-US" w:eastAsia="zh-CN" w:bidi="ar"/>
                          </w:rPr>
                        </m:ctrlPr>
                      </m:sSubPr>
                      <m:e>
                        <m:r>
                          <m:rPr>
                            <m:sty m:val="p"/>
                          </m:rPr>
                          <w:rPr>
                            <w:rFonts w:hint="default" w:ascii="Cambria Math" w:hAnsi="Cambria Math" w:cs="Times New Roman" w:eastAsiaTheme="minorEastAsia"/>
                            <w:color w:val="auto"/>
                            <w:kern w:val="0"/>
                            <w:sz w:val="24"/>
                            <w:szCs w:val="20"/>
                            <w:lang w:val="en-US" w:eastAsia="zh-CN" w:bidi="ar"/>
                          </w:rPr>
                          <m:t>q</m:t>
                        </m:r>
                        <m:ctrlPr>
                          <w:rPr>
                            <w:rFonts w:hint="default" w:ascii="Cambria Math" w:hAnsi="Cambria Math" w:cs="Times New Roman" w:eastAsiaTheme="minorEastAsia"/>
                            <w:color w:val="auto"/>
                            <w:kern w:val="0"/>
                            <w:sz w:val="24"/>
                            <w:szCs w:val="20"/>
                            <w:lang w:val="en-US" w:eastAsia="zh-CN" w:bidi="ar"/>
                          </w:rPr>
                        </m:ctrlPr>
                      </m:e>
                      <m:sub>
                        <m:r>
                          <m:rPr>
                            <m:sty m:val="p"/>
                          </m:rPr>
                          <w:rPr>
                            <w:rFonts w:hint="default" w:ascii="Cambria Math" w:hAnsi="Cambria Math" w:cs="Times New Roman" w:eastAsiaTheme="minorEastAsia"/>
                            <w:color w:val="auto"/>
                            <w:kern w:val="0"/>
                            <w:sz w:val="24"/>
                            <w:szCs w:val="20"/>
                            <w:lang w:val="en-US" w:eastAsia="zh-CN" w:bidi="ar"/>
                          </w:rPr>
                          <m:t>n</m:t>
                        </m:r>
                        <m:ctrlPr>
                          <w:rPr>
                            <w:rFonts w:hint="default" w:ascii="Cambria Math" w:hAnsi="Cambria Math" w:cs="Times New Roman" w:eastAsiaTheme="minorEastAsia"/>
                            <w:color w:val="auto"/>
                            <w:kern w:val="0"/>
                            <w:sz w:val="24"/>
                            <w:szCs w:val="20"/>
                            <w:lang w:val="en-US" w:eastAsia="zh-CN" w:bidi="ar"/>
                          </w:rPr>
                        </m:ctrlPr>
                      </m:sub>
                    </m:sSub>
                    <m:ctrlPr>
                      <w:rPr>
                        <w:rFonts w:hint="default" w:ascii="Cambria Math" w:hAnsi="Cambria Math" w:cs="Times New Roman" w:eastAsiaTheme="minorEastAsia"/>
                        <w:color w:val="auto"/>
                        <w:kern w:val="0"/>
                        <w:sz w:val="24"/>
                        <w:szCs w:val="20"/>
                        <w:lang w:val="en-US" w:eastAsia="zh-CN" w:bidi="ar"/>
                      </w:rPr>
                    </m:ctrlPr>
                  </m:num>
                  <m:den>
                    <m:sSub>
                      <m:sSubPr>
                        <m:ctrlPr>
                          <w:rPr>
                            <w:rFonts w:hint="default" w:ascii="Cambria Math" w:hAnsi="Cambria Math" w:cs="Times New Roman" w:eastAsiaTheme="minorEastAsia"/>
                            <w:color w:val="auto"/>
                            <w:kern w:val="0"/>
                            <w:sz w:val="24"/>
                            <w:szCs w:val="20"/>
                            <w:lang w:val="en-US" w:eastAsia="zh-CN" w:bidi="ar"/>
                          </w:rPr>
                        </m:ctrlPr>
                      </m:sSubPr>
                      <m:e>
                        <m:r>
                          <m:rPr>
                            <m:sty m:val="p"/>
                          </m:rPr>
                          <w:rPr>
                            <w:rFonts w:hint="default" w:ascii="Cambria Math" w:hAnsi="Cambria Math" w:cs="Times New Roman" w:eastAsiaTheme="minorEastAsia"/>
                            <w:color w:val="auto"/>
                            <w:kern w:val="0"/>
                            <w:sz w:val="24"/>
                            <w:szCs w:val="20"/>
                            <w:lang w:val="en-US" w:eastAsia="zh-CN" w:bidi="ar"/>
                          </w:rPr>
                          <m:t>Q</m:t>
                        </m:r>
                        <m:ctrlPr>
                          <w:rPr>
                            <w:rFonts w:hint="default" w:ascii="Cambria Math" w:hAnsi="Cambria Math" w:cs="Times New Roman" w:eastAsiaTheme="minorEastAsia"/>
                            <w:color w:val="auto"/>
                            <w:kern w:val="0"/>
                            <w:sz w:val="24"/>
                            <w:szCs w:val="20"/>
                            <w:lang w:val="en-US" w:eastAsia="zh-CN" w:bidi="ar"/>
                          </w:rPr>
                        </m:ctrlPr>
                      </m:e>
                      <m:sub>
                        <m:r>
                          <m:rPr>
                            <m:sty m:val="p"/>
                          </m:rPr>
                          <w:rPr>
                            <w:rFonts w:hint="default" w:ascii="Cambria Math" w:hAnsi="Cambria Math" w:cs="Times New Roman" w:eastAsiaTheme="minorEastAsia"/>
                            <w:color w:val="auto"/>
                            <w:kern w:val="0"/>
                            <w:sz w:val="24"/>
                            <w:szCs w:val="20"/>
                            <w:lang w:val="en-US" w:eastAsia="zh-CN" w:bidi="ar"/>
                          </w:rPr>
                          <m:t>n</m:t>
                        </m:r>
                        <m:ctrlPr>
                          <w:rPr>
                            <w:rFonts w:hint="default" w:ascii="Cambria Math" w:hAnsi="Cambria Math" w:cs="Times New Roman" w:eastAsiaTheme="minorEastAsia"/>
                            <w:color w:val="auto"/>
                            <w:kern w:val="0"/>
                            <w:sz w:val="24"/>
                            <w:szCs w:val="20"/>
                            <w:lang w:val="en-US" w:eastAsia="zh-CN" w:bidi="ar"/>
                          </w:rPr>
                        </m:ctrlPr>
                      </m:sub>
                    </m:sSub>
                    <m:ctrlPr>
                      <w:rPr>
                        <w:rFonts w:hint="default" w:ascii="Cambria Math" w:hAnsi="Cambria Math" w:cs="Times New Roman" w:eastAsiaTheme="minorEastAsia"/>
                        <w:color w:val="auto"/>
                        <w:kern w:val="0"/>
                        <w:sz w:val="24"/>
                        <w:szCs w:val="20"/>
                        <w:lang w:val="en-US" w:eastAsia="zh-CN" w:bidi="ar"/>
                      </w:rPr>
                    </m:ctrlPr>
                  </m:den>
                </m:f>
              </m:oMath>
            </m:oMathPara>
          </w:p>
          <w:p w14:paraId="791DD6F5">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式中：q1，q2，…，qn——每种环境风险物质的最大存在总量，t；</w:t>
            </w:r>
          </w:p>
          <w:p w14:paraId="69A3F020">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 xml:space="preserve">      Q1，Q2，…，Qn——每种环境风险物质的临界量，t。</w:t>
            </w:r>
          </w:p>
          <w:p w14:paraId="49A160BD">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根据《建设项目环境风险评价技术导则》（HJ169-2018），危险物质是指“具有易燃易爆、有毒有害等特性，会对环境造成危害的物质”。本项目不涉及该导则附录B中提及的危险物质。</w:t>
            </w:r>
          </w:p>
          <w:p w14:paraId="4E8DBA44">
            <w:pPr>
              <w:keepNext w:val="0"/>
              <w:keepLines w:val="0"/>
              <w:widowControl/>
              <w:suppressLineNumbers w:val="0"/>
              <w:spacing w:before="0" w:beforeAutospacing="0" w:after="0" w:afterAutospacing="0" w:line="360" w:lineRule="auto"/>
              <w:ind w:left="0" w:right="0" w:firstLine="480" w:firstLineChars="200"/>
              <w:jc w:val="left"/>
              <w:rPr>
                <w:rFonts w:hint="default" w:cs="Times New Roman" w:asciiTheme="minorHAnsi" w:hAnsiTheme="minorHAnsi" w:eastAsiaTheme="minorEastAsia"/>
                <w:color w:val="auto"/>
                <w:kern w:val="0"/>
                <w:sz w:val="24"/>
                <w:szCs w:val="20"/>
                <w:lang w:val="en-US" w:eastAsia="zh-CN" w:bidi="ar"/>
              </w:rPr>
            </w:pPr>
            <w:r>
              <w:rPr>
                <w:rFonts w:hint="eastAsia" w:cs="Times New Roman" w:asciiTheme="minorHAnsi" w:hAnsiTheme="minorHAnsi" w:eastAsiaTheme="minorEastAsia"/>
                <w:color w:val="auto"/>
                <w:kern w:val="0"/>
                <w:sz w:val="24"/>
                <w:szCs w:val="20"/>
                <w:lang w:val="en-US" w:eastAsia="zh-CN" w:bidi="ar"/>
              </w:rPr>
              <w:t>（2）</w:t>
            </w:r>
            <w:r>
              <w:rPr>
                <w:rFonts w:hint="default" w:cs="Times New Roman" w:asciiTheme="minorHAnsi" w:hAnsiTheme="minorHAnsi" w:eastAsiaTheme="minorEastAsia"/>
                <w:color w:val="auto"/>
                <w:kern w:val="0"/>
                <w:sz w:val="24"/>
                <w:szCs w:val="20"/>
                <w:lang w:val="en-US" w:eastAsia="zh-CN" w:bidi="ar"/>
              </w:rPr>
              <w:t>评价工作等级划分</w:t>
            </w:r>
          </w:p>
          <w:p w14:paraId="109D5DCC">
            <w:pPr>
              <w:keepNext w:val="0"/>
              <w:keepLines w:val="0"/>
              <w:widowControl/>
              <w:suppressLineNumbers w:val="0"/>
              <w:spacing w:before="0" w:beforeAutospacing="0" w:after="0" w:afterAutospacing="0" w:line="360" w:lineRule="auto"/>
              <w:ind w:left="0" w:right="0" w:firstLine="480" w:firstLineChars="200"/>
              <w:jc w:val="left"/>
              <w:rPr>
                <w:rFonts w:hint="default" w:cs="Times New Roman" w:asciiTheme="minorHAnsi" w:hAnsiTheme="minorHAnsi" w:eastAsiaTheme="minorEastAsia"/>
                <w:color w:val="auto"/>
                <w:kern w:val="0"/>
                <w:sz w:val="24"/>
                <w:szCs w:val="20"/>
                <w:lang w:val="en-US" w:eastAsia="zh-CN" w:bidi="ar"/>
              </w:rPr>
            </w:pPr>
            <w:r>
              <w:rPr>
                <w:rFonts w:hint="default" w:cs="Times New Roman" w:asciiTheme="minorHAnsi" w:hAnsiTheme="minorHAnsi" w:eastAsiaTheme="minorEastAsia"/>
                <w:color w:val="auto"/>
                <w:kern w:val="0"/>
                <w:sz w:val="24"/>
                <w:szCs w:val="20"/>
                <w:lang w:val="en-US" w:eastAsia="zh-CN" w:bidi="ar"/>
              </w:rPr>
              <w:t>环境风险评价工作等级划分为一级、二级、三级。根据建设项目涉及的物质及工艺系统危险性和所在地的环境敏感性确定环境风险潜势，风险潜势为IV及以上，进行一级评价：风险潜势为</w:t>
            </w:r>
            <w:r>
              <w:rPr>
                <w:rFonts w:hint="eastAsia" w:cs="Times New Roman"/>
                <w:color w:val="auto"/>
                <w:kern w:val="0"/>
                <w:sz w:val="24"/>
                <w:szCs w:val="20"/>
                <w:lang w:val="en-US" w:eastAsia="zh-CN" w:bidi="ar"/>
              </w:rPr>
              <w:t>Ⅲ</w:t>
            </w:r>
            <w:r>
              <w:rPr>
                <w:rFonts w:hint="default" w:cs="Times New Roman" w:asciiTheme="minorHAnsi" w:hAnsiTheme="minorHAnsi" w:eastAsiaTheme="minorEastAsia"/>
                <w:color w:val="auto"/>
                <w:kern w:val="0"/>
                <w:sz w:val="24"/>
                <w:szCs w:val="20"/>
                <w:lang w:val="en-US" w:eastAsia="zh-CN" w:bidi="ar"/>
              </w:rPr>
              <w:t>，进行二级评价：风险潜势为II，进行三级评价：风险潜势为I，可开展简单分析。本项目风险潜势为I，因此对本项目环境风险进行简单分析。</w:t>
            </w:r>
          </w:p>
          <w:p w14:paraId="495B0402">
            <w:pPr>
              <w:keepNext w:val="0"/>
              <w:keepLines w:val="0"/>
              <w:widowControl/>
              <w:suppressLineNumbers w:val="0"/>
              <w:spacing w:before="0" w:beforeAutospacing="0" w:after="0" w:afterAutospacing="0" w:line="360" w:lineRule="auto"/>
              <w:ind w:left="0" w:right="0"/>
              <w:jc w:val="left"/>
              <w:rPr>
                <w:rFonts w:hint="default" w:cs="Times New Roman" w:asciiTheme="minorHAnsi" w:hAnsiTheme="minorHAnsi" w:eastAsiaTheme="minorEastAsia"/>
                <w:color w:val="auto"/>
                <w:kern w:val="0"/>
                <w:sz w:val="24"/>
                <w:szCs w:val="20"/>
                <w:lang w:val="en-US" w:eastAsia="zh-CN" w:bidi="ar"/>
              </w:rPr>
            </w:pPr>
            <w:r>
              <w:rPr>
                <w:rFonts w:hint="default" w:cs="Times New Roman" w:asciiTheme="minorHAnsi" w:hAnsiTheme="minorHAnsi" w:eastAsiaTheme="minorEastAsia"/>
                <w:color w:val="auto"/>
                <w:kern w:val="0"/>
                <w:sz w:val="24"/>
                <w:szCs w:val="20"/>
                <w:lang w:val="en-US" w:eastAsia="zh-CN" w:bidi="ar"/>
              </w:rPr>
              <w:t xml:space="preserve">    根据《建设项目环境风险评价技术导则》（HJ169-2018），评价工作等级划分见下表所示。</w:t>
            </w:r>
          </w:p>
          <w:p w14:paraId="3912D67D">
            <w:pPr>
              <w:pStyle w:val="42"/>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w:t>
            </w:r>
            <w:r>
              <w:rPr>
                <w:rFonts w:hint="eastAsia" w:ascii="Times New Roman" w:hAnsi="Times New Roman" w:cs="Times New Roman"/>
                <w:b/>
                <w:bCs/>
                <w:color w:val="auto"/>
                <w:sz w:val="21"/>
                <w:szCs w:val="21"/>
                <w:lang w:val="en-US" w:eastAsia="zh-CN"/>
              </w:rPr>
              <w:t xml:space="preserve">4-12 </w:t>
            </w:r>
            <w:r>
              <w:rPr>
                <w:rFonts w:hint="default" w:ascii="Times New Roman" w:hAnsi="Times New Roman" w:cs="Times New Roman"/>
                <w:b/>
                <w:bCs/>
                <w:color w:val="auto"/>
                <w:sz w:val="21"/>
                <w:szCs w:val="21"/>
              </w:rPr>
              <w:t>评价工作等级划分</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1583"/>
              <w:gridCol w:w="1584"/>
              <w:gridCol w:w="1584"/>
              <w:gridCol w:w="1584"/>
            </w:tblGrid>
            <w:tr w14:paraId="65693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83" w:type="dxa"/>
                  <w:noWrap w:val="0"/>
                  <w:vAlign w:val="center"/>
                </w:tcPr>
                <w:p w14:paraId="287E55BD">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环境风险潜势</w:t>
                  </w:r>
                </w:p>
              </w:tc>
              <w:tc>
                <w:tcPr>
                  <w:tcW w:w="1583" w:type="dxa"/>
                  <w:noWrap w:val="0"/>
                  <w:vAlign w:val="center"/>
                </w:tcPr>
                <w:p w14:paraId="36BAD7F4">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Ⅳ Ⅳ</w:t>
                  </w:r>
                  <w:r>
                    <w:rPr>
                      <w:rFonts w:hint="default" w:ascii="Times New Roman" w:hAnsi="Times New Roman" w:cs="Times New Roman"/>
                      <w:color w:val="auto"/>
                      <w:sz w:val="21"/>
                      <w:szCs w:val="21"/>
                      <w:vertAlign w:val="superscript"/>
                    </w:rPr>
                    <w:t>+</w:t>
                  </w:r>
                </w:p>
              </w:tc>
              <w:tc>
                <w:tcPr>
                  <w:tcW w:w="1584" w:type="dxa"/>
                  <w:noWrap w:val="0"/>
                  <w:vAlign w:val="center"/>
                </w:tcPr>
                <w:p w14:paraId="25578CF1">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Ⅲ</w:t>
                  </w:r>
                </w:p>
              </w:tc>
              <w:tc>
                <w:tcPr>
                  <w:tcW w:w="1584" w:type="dxa"/>
                  <w:noWrap w:val="0"/>
                  <w:vAlign w:val="center"/>
                </w:tcPr>
                <w:p w14:paraId="4EA3285F">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Ⅱ</w:t>
                  </w:r>
                </w:p>
              </w:tc>
              <w:tc>
                <w:tcPr>
                  <w:tcW w:w="1584" w:type="dxa"/>
                  <w:noWrap w:val="0"/>
                  <w:vAlign w:val="center"/>
                </w:tcPr>
                <w:p w14:paraId="5EDDF026">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Ⅰ</w:t>
                  </w:r>
                </w:p>
              </w:tc>
            </w:tr>
            <w:tr w14:paraId="07C64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583" w:type="dxa"/>
                  <w:noWrap w:val="0"/>
                  <w:vAlign w:val="center"/>
                </w:tcPr>
                <w:p w14:paraId="17B78345">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评价工作等级</w:t>
                  </w:r>
                </w:p>
              </w:tc>
              <w:tc>
                <w:tcPr>
                  <w:tcW w:w="1583" w:type="dxa"/>
                  <w:noWrap w:val="0"/>
                  <w:vAlign w:val="center"/>
                </w:tcPr>
                <w:p w14:paraId="6E50E5F8">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w:t>
                  </w:r>
                </w:p>
              </w:tc>
              <w:tc>
                <w:tcPr>
                  <w:tcW w:w="1584" w:type="dxa"/>
                  <w:noWrap w:val="0"/>
                  <w:vAlign w:val="center"/>
                </w:tcPr>
                <w:p w14:paraId="7338F790">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w:t>
                  </w:r>
                </w:p>
              </w:tc>
              <w:tc>
                <w:tcPr>
                  <w:tcW w:w="1584" w:type="dxa"/>
                  <w:noWrap w:val="0"/>
                  <w:vAlign w:val="center"/>
                </w:tcPr>
                <w:p w14:paraId="55150BEA">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三</w:t>
                  </w:r>
                </w:p>
              </w:tc>
              <w:tc>
                <w:tcPr>
                  <w:tcW w:w="1584" w:type="dxa"/>
                  <w:noWrap w:val="0"/>
                  <w:vAlign w:val="center"/>
                </w:tcPr>
                <w:p w14:paraId="432A9638">
                  <w:pPr>
                    <w:pStyle w:val="42"/>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简单分析</w:t>
                  </w:r>
                </w:p>
              </w:tc>
            </w:tr>
          </w:tbl>
          <w:p w14:paraId="01070D8D">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根据《建设项目环境风险评价技术导则》（HJ 169-2018）附录C计算项目危险物质数量与临界量比值（Q），本项目生产原料为</w:t>
            </w:r>
            <w:r>
              <w:rPr>
                <w:rFonts w:hint="eastAsia" w:ascii="Times New Roman" w:hAnsi="Times New Roman" w:cs="Times New Roman"/>
                <w:color w:val="auto"/>
                <w:kern w:val="0"/>
                <w:sz w:val="24"/>
                <w:szCs w:val="20"/>
                <w:lang w:val="en-US" w:eastAsia="zh-CN" w:bidi="ar"/>
              </w:rPr>
              <w:t>建筑垃圾</w:t>
            </w:r>
            <w:r>
              <w:rPr>
                <w:rFonts w:hint="default" w:ascii="Times New Roman" w:hAnsi="Times New Roman" w:cs="Times New Roman" w:eastAsiaTheme="minorEastAsia"/>
                <w:color w:val="auto"/>
                <w:kern w:val="0"/>
                <w:sz w:val="24"/>
                <w:szCs w:val="20"/>
                <w:lang w:val="en-US" w:eastAsia="zh-CN" w:bidi="ar"/>
              </w:rPr>
              <w:t>，不涉及该导则附录B中提及的危险物质。项目所储存化学实际辨识指标总 Q=0&lt;1.0，根据《建设项目环境风险评价技术导则》（HJ169-2018）附录 C，当 Q值小于 1时，该项目风险潜 势为I级，可开展简单分析。</w:t>
            </w:r>
          </w:p>
          <w:p w14:paraId="637D32E3">
            <w:pPr>
              <w:pStyle w:val="24"/>
              <w:keepNext w:val="0"/>
              <w:keepLines w:val="0"/>
              <w:numPr>
                <w:ilvl w:val="0"/>
                <w:numId w:val="0"/>
              </w:numPr>
              <w:suppressLineNumbers w:val="0"/>
              <w:spacing w:before="0" w:beforeAutospacing="0" w:after="0" w:afterAutospacing="0" w:line="360" w:lineRule="auto"/>
              <w:ind w:left="0" w:leftChars="0" w:right="0" w:rightChars="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（3）环境风险识别</w:t>
            </w:r>
          </w:p>
          <w:p w14:paraId="50E3B570">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根据《建设项目环境风险评价技术导则》（HJ169-2018），危险物质是指“具有易燃易爆、有毒有害等特性，会对环境造成危害的物质”。本项目不涉及该导则附录B中提及的危险物质。</w:t>
            </w:r>
          </w:p>
          <w:p w14:paraId="37E7A6FD">
            <w:pPr>
              <w:pStyle w:val="24"/>
              <w:keepNext w:val="0"/>
              <w:keepLines w:val="0"/>
              <w:numPr>
                <w:ilvl w:val="0"/>
                <w:numId w:val="6"/>
              </w:numPr>
              <w:suppressLineNumbers w:val="0"/>
              <w:spacing w:before="0" w:beforeAutospacing="0" w:after="0" w:afterAutospacing="0" w:line="360" w:lineRule="auto"/>
              <w:ind w:left="420" w:leftChars="200" w:right="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环境风险分析</w:t>
            </w:r>
          </w:p>
          <w:p w14:paraId="190F5986">
            <w:pPr>
              <w:pStyle w:val="24"/>
              <w:keepNext w:val="0"/>
              <w:keepLines w:val="0"/>
              <w:numPr>
                <w:ilvl w:val="0"/>
                <w:numId w:val="0"/>
              </w:numPr>
              <w:suppressLineNumbers w:val="0"/>
              <w:spacing w:before="0" w:beforeAutospacing="0" w:after="0" w:afterAutospacing="0" w:line="360" w:lineRule="auto"/>
              <w:ind w:left="0" w:right="0" w:rightChars="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本项目生产作业使用原料为</w:t>
            </w:r>
            <w:r>
              <w:rPr>
                <w:rFonts w:hint="eastAsia" w:ascii="Times New Roman" w:hAnsi="Times New Roman" w:cs="Times New Roman"/>
                <w:color w:val="auto"/>
                <w:kern w:val="0"/>
                <w:sz w:val="24"/>
                <w:szCs w:val="20"/>
                <w:lang w:val="en-US" w:eastAsia="zh-CN" w:bidi="ar"/>
              </w:rPr>
              <w:t>建筑垃圾</w:t>
            </w:r>
            <w:r>
              <w:rPr>
                <w:rFonts w:hint="default" w:ascii="Times New Roman" w:hAnsi="Times New Roman" w:cs="Times New Roman" w:eastAsiaTheme="minorEastAsia"/>
                <w:color w:val="auto"/>
                <w:kern w:val="0"/>
                <w:sz w:val="24"/>
                <w:szCs w:val="20"/>
                <w:lang w:val="en-US" w:eastAsia="zh-CN" w:bidi="ar"/>
              </w:rPr>
              <w:t>，不涉及危险化学品，环境风险为车间粉尘浓度过大，事故时排放到厂区周边、厂区意外发生火灾及爆炸。</w:t>
            </w:r>
          </w:p>
          <w:p w14:paraId="51EDBCC6">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（5）环境风险防范措施</w:t>
            </w:r>
          </w:p>
          <w:p w14:paraId="207197C7">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 xml:space="preserve"> 本项目生产作业使用物料为</w:t>
            </w:r>
            <w:r>
              <w:rPr>
                <w:rFonts w:hint="eastAsia" w:ascii="Times New Roman" w:hAnsi="Times New Roman" w:cs="Times New Roman"/>
                <w:color w:val="auto"/>
                <w:kern w:val="0"/>
                <w:sz w:val="24"/>
                <w:szCs w:val="20"/>
                <w:lang w:val="en-US" w:eastAsia="zh-CN" w:bidi="ar"/>
              </w:rPr>
              <w:t>建筑垃圾</w:t>
            </w:r>
            <w:r>
              <w:rPr>
                <w:rFonts w:hint="default" w:ascii="Times New Roman" w:hAnsi="Times New Roman" w:cs="Times New Roman" w:eastAsiaTheme="minorEastAsia"/>
                <w:color w:val="auto"/>
                <w:kern w:val="0"/>
                <w:sz w:val="24"/>
                <w:szCs w:val="20"/>
                <w:lang w:val="en-US" w:eastAsia="zh-CN" w:bidi="ar"/>
              </w:rPr>
              <w:t>，不涉及危险化学品，但</w:t>
            </w:r>
            <w:r>
              <w:rPr>
                <w:rFonts w:hint="eastAsia" w:ascii="Times New Roman" w:hAnsi="Times New Roman" w:cs="Times New Roman"/>
                <w:color w:val="auto"/>
                <w:kern w:val="0"/>
                <w:sz w:val="24"/>
                <w:szCs w:val="20"/>
                <w:lang w:val="en-US" w:eastAsia="zh-CN" w:bidi="ar"/>
              </w:rPr>
              <w:t>建筑垃圾</w:t>
            </w:r>
            <w:r>
              <w:rPr>
                <w:rFonts w:hint="default" w:ascii="Times New Roman" w:hAnsi="Times New Roman" w:cs="Times New Roman" w:eastAsiaTheme="minorEastAsia"/>
                <w:color w:val="auto"/>
                <w:kern w:val="0"/>
                <w:sz w:val="24"/>
                <w:szCs w:val="20"/>
                <w:lang w:val="en-US" w:eastAsia="zh-CN" w:bidi="ar"/>
              </w:rPr>
              <w:t>生产过程中</w:t>
            </w:r>
            <w:r>
              <w:rPr>
                <w:rFonts w:hint="eastAsia" w:ascii="Times New Roman" w:hAnsi="Times New Roman" w:cs="Times New Roman"/>
                <w:color w:val="auto"/>
                <w:kern w:val="0"/>
                <w:sz w:val="24"/>
                <w:szCs w:val="20"/>
                <w:lang w:val="en-US" w:eastAsia="zh-CN" w:bidi="ar"/>
              </w:rPr>
              <w:t>可能发生</w:t>
            </w:r>
            <w:r>
              <w:rPr>
                <w:rFonts w:hint="default" w:ascii="Times New Roman" w:hAnsi="Times New Roman" w:cs="Times New Roman" w:eastAsiaTheme="minorEastAsia"/>
                <w:color w:val="auto"/>
                <w:kern w:val="0"/>
                <w:sz w:val="24"/>
                <w:szCs w:val="20"/>
                <w:lang w:val="en-US" w:eastAsia="zh-CN" w:bidi="ar"/>
              </w:rPr>
              <w:t>粉尘泄</w:t>
            </w:r>
            <w:r>
              <w:rPr>
                <w:rFonts w:hint="eastAsia" w:ascii="Times New Roman" w:hAnsi="Times New Roman" w:cs="Times New Roman"/>
                <w:color w:val="auto"/>
                <w:kern w:val="0"/>
                <w:sz w:val="24"/>
                <w:szCs w:val="20"/>
                <w:lang w:val="en-US" w:eastAsia="zh-CN" w:bidi="ar"/>
              </w:rPr>
              <w:t>漏</w:t>
            </w:r>
            <w:r>
              <w:rPr>
                <w:rFonts w:hint="default" w:ascii="Times New Roman" w:hAnsi="Times New Roman" w:cs="Times New Roman" w:eastAsiaTheme="minorEastAsia"/>
                <w:color w:val="auto"/>
                <w:kern w:val="0"/>
                <w:sz w:val="24"/>
                <w:szCs w:val="20"/>
                <w:lang w:val="en-US" w:eastAsia="zh-CN" w:bidi="ar"/>
              </w:rPr>
              <w:t>，厂区意外发生火灾及爆炸，污染厂区周边空气。</w:t>
            </w:r>
          </w:p>
          <w:p w14:paraId="454CDD61">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建议：A.保持工作场所通风，安装高效除尘设备；</w:t>
            </w:r>
          </w:p>
          <w:p w14:paraId="1FD2C9EE">
            <w:pPr>
              <w:keepNext w:val="0"/>
              <w:keepLines w:val="0"/>
              <w:suppressLineNumbers w:val="0"/>
              <w:tabs>
                <w:tab w:val="left" w:pos="1999"/>
              </w:tabs>
              <w:snapToGrid w:val="0"/>
              <w:spacing w:before="0" w:beforeAutospacing="0" w:after="0" w:afterAutospacing="0" w:line="360" w:lineRule="auto"/>
              <w:ind w:left="0" w:right="0" w:firstLine="1200" w:firstLineChars="5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B.定期清理设备、地面和管道的积尘，避免粉尘堆积；</w:t>
            </w:r>
          </w:p>
          <w:p w14:paraId="3285BE9E">
            <w:pPr>
              <w:keepNext w:val="0"/>
              <w:keepLines w:val="0"/>
              <w:suppressLineNumbers w:val="0"/>
              <w:tabs>
                <w:tab w:val="left" w:pos="1999"/>
              </w:tabs>
              <w:snapToGrid w:val="0"/>
              <w:spacing w:before="0" w:beforeAutospacing="0" w:after="0" w:afterAutospacing="0" w:line="360" w:lineRule="auto"/>
              <w:ind w:left="0" w:right="0" w:firstLine="1200" w:firstLineChars="5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C.监测粉尘浓度，确保车间浓度正常；</w:t>
            </w:r>
          </w:p>
          <w:p w14:paraId="76ABAB94">
            <w:pPr>
              <w:keepNext w:val="0"/>
              <w:keepLines w:val="0"/>
              <w:suppressLineNumbers w:val="0"/>
              <w:tabs>
                <w:tab w:val="left" w:pos="1999"/>
              </w:tabs>
              <w:snapToGrid w:val="0"/>
              <w:spacing w:before="0" w:beforeAutospacing="0" w:after="0" w:afterAutospacing="0" w:line="360" w:lineRule="auto"/>
              <w:ind w:left="0" w:right="0" w:firstLine="1200" w:firstLineChars="5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D.消除点火源；</w:t>
            </w:r>
          </w:p>
          <w:p w14:paraId="122316A9">
            <w:pPr>
              <w:keepNext w:val="0"/>
              <w:keepLines w:val="0"/>
              <w:suppressLineNumbers w:val="0"/>
              <w:tabs>
                <w:tab w:val="left" w:pos="1999"/>
              </w:tabs>
              <w:snapToGrid w:val="0"/>
              <w:spacing w:before="0" w:beforeAutospacing="0" w:after="0" w:afterAutospacing="0" w:line="360" w:lineRule="auto"/>
              <w:ind w:left="0" w:right="0" w:firstLine="1200" w:firstLineChars="5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E.使用防爆电气设备（如防爆电机、防爆灯具），避免电火花；</w:t>
            </w:r>
          </w:p>
          <w:p w14:paraId="53314130">
            <w:pPr>
              <w:keepNext w:val="0"/>
              <w:keepLines w:val="0"/>
              <w:suppressLineNumbers w:val="0"/>
              <w:tabs>
                <w:tab w:val="left" w:pos="1999"/>
              </w:tabs>
              <w:snapToGrid w:val="0"/>
              <w:spacing w:before="0" w:beforeAutospacing="0" w:after="0" w:afterAutospacing="0" w:line="360" w:lineRule="auto"/>
              <w:ind w:left="0" w:right="0" w:firstLine="1200" w:firstLineChars="5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F.禁止明火作业，动火作业需提前审批并隔离粉尘环境；</w:t>
            </w:r>
          </w:p>
          <w:p w14:paraId="74D667A1">
            <w:pPr>
              <w:keepNext w:val="0"/>
              <w:keepLines w:val="0"/>
              <w:suppressLineNumbers w:val="0"/>
              <w:tabs>
                <w:tab w:val="left" w:pos="1999"/>
              </w:tabs>
              <w:snapToGrid w:val="0"/>
              <w:spacing w:before="0" w:beforeAutospacing="0" w:after="0" w:afterAutospacing="0" w:line="360" w:lineRule="auto"/>
              <w:ind w:left="0" w:right="0" w:firstLine="1200" w:firstLineChars="5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G.控制设备表面温度（如轴承过热），防止静电积累（设备接地，使用抗静电材料）；</w:t>
            </w:r>
          </w:p>
          <w:p w14:paraId="3F22B554">
            <w:pPr>
              <w:keepNext w:val="0"/>
              <w:keepLines w:val="0"/>
              <w:suppressLineNumbers w:val="0"/>
              <w:tabs>
                <w:tab w:val="left" w:pos="1999"/>
              </w:tabs>
              <w:snapToGrid w:val="0"/>
              <w:spacing w:before="0" w:beforeAutospacing="0" w:after="0" w:afterAutospacing="0" w:line="360" w:lineRule="auto"/>
              <w:ind w:left="0" w:right="0" w:firstLine="1200" w:firstLineChars="5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H.设备防爆设计，安装泄爆片、抑爆装置或隔爆阀，防止爆炸扩散；</w:t>
            </w:r>
          </w:p>
          <w:p w14:paraId="27FE381E">
            <w:pPr>
              <w:keepNext w:val="0"/>
              <w:keepLines w:val="0"/>
              <w:suppressLineNumbers w:val="0"/>
              <w:spacing w:before="0" w:beforeAutospacing="0" w:after="0" w:afterAutospacing="0" w:line="360" w:lineRule="auto"/>
              <w:ind w:left="0" w:right="0" w:firstLine="1200" w:firstLineChars="5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I.定期进行粉尘泄漏安全培训，确保员工熟悉应急预案；</w:t>
            </w:r>
          </w:p>
          <w:p w14:paraId="05A56B42">
            <w:pPr>
              <w:keepNext w:val="0"/>
              <w:keepLines w:val="0"/>
              <w:suppressLineNumbers w:val="0"/>
              <w:spacing w:before="0" w:beforeAutospacing="0" w:after="0" w:afterAutospacing="0" w:line="360" w:lineRule="auto"/>
              <w:ind w:left="0" w:right="0" w:firstLine="1200" w:firstLineChars="5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J.模拟粉尘泄漏场景的应急演练，测试报警系统和逃生通道；</w:t>
            </w:r>
          </w:p>
          <w:p w14:paraId="7233B3DC">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（5）环境风险应急措施</w:t>
            </w:r>
          </w:p>
          <w:p w14:paraId="6D2C6F65">
            <w:pPr>
              <w:keepNext w:val="0"/>
              <w:keepLines w:val="0"/>
              <w:suppressLineNumbers w:val="0"/>
              <w:bidi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粉尘泄漏应急措施：①对管道破损点使用快速堵漏工具（如带压封堵器），防止二次扩散。②根据气象数据（风速、风向）划定污染扩散模型，通过广播、短信通知下风向1-5公里内居民闭户避险。③启用高空雾炮降低空气中污染物浓度。④对受困人员使用正压式空气呼吸器（SCBA）救援，重伤者优先转移至指定医疗机构（提前协议医院）。⑤1小时内向属地生态环境局提交初步报告（含污染物类型、泄漏量、已采取措施）。⑥通过政府官网、社交媒体每小时通报处置进展，重点说明健康防护建议（如避免外出、关闭空调外循环）。</w:t>
            </w:r>
          </w:p>
          <w:p w14:paraId="04D5858F">
            <w:pPr>
              <w:keepNext w:val="0"/>
              <w:keepLines w:val="0"/>
              <w:suppressLineNumbers w:val="0"/>
              <w:bidi w:val="0"/>
              <w:spacing w:before="0" w:beforeAutospacing="0" w:after="0" w:afterAutospacing="0" w:line="360" w:lineRule="auto"/>
              <w:ind w:left="0" w:right="0" w:firstLine="480" w:firstLineChars="200"/>
              <w:jc w:val="left"/>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火灾及爆炸应急措施：①立即切断连锁反应：如喷洒灭火剂或惰性气体，关闭设备电源和供料系统，隔离爆炸区域。②人员疏散与报警：启动应急警报，引导人员沿安全通道撤离，拨打119/120并报告爆炸物质、伤亡情况和现场危险源。③初期灭火与隔离：若火势较小，使用干粉灭火器或沙土覆盖（禁止用水扑灭金属粉尘火灾），关闭通风系统，防止火势蔓延至其他区域。④救援组织：对烧伤、吸入性损伤人员实施急救，转移至通风处。保护事故现场，配合相关部门调查爆炸原因。⑤防止二次爆炸：彻底清理残留粉尘，检查是否存在阴燃火源。未确认安全前，禁止重启设备和进入现场。</w:t>
            </w:r>
          </w:p>
          <w:p w14:paraId="1480ACDC">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（6）环境风险评价结论</w:t>
            </w:r>
          </w:p>
          <w:p w14:paraId="2F9B4DB8">
            <w:pPr>
              <w:keepNext w:val="0"/>
              <w:keepLines w:val="0"/>
              <w:suppressLineNumbers w:val="0"/>
              <w:tabs>
                <w:tab w:val="left" w:pos="1999"/>
              </w:tabs>
              <w:snapToGrid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0"/>
                <w:sz w:val="24"/>
                <w:szCs w:val="20"/>
                <w:lang w:val="en-US" w:eastAsia="zh-CN" w:bidi="ar"/>
              </w:rPr>
            </w:pPr>
            <w:r>
              <w:rPr>
                <w:rFonts w:hint="default" w:ascii="Times New Roman" w:hAnsi="Times New Roman" w:cs="Times New Roman" w:eastAsiaTheme="minorEastAsia"/>
                <w:color w:val="auto"/>
                <w:kern w:val="0"/>
                <w:sz w:val="24"/>
                <w:szCs w:val="20"/>
                <w:lang w:val="en-US" w:eastAsia="zh-CN" w:bidi="ar"/>
              </w:rPr>
              <w:t>总体而言，只要加强管理，建立健全相应的风险防范管理、应急措施，并在管理及运行中认真落实相关安全生产管理规定、消防规定、环境风险评价中提出的措施和相关环保规定，确保安全运营，制定相应事故企业应急预案，则其运营期的环境风险是可接受的。</w:t>
            </w:r>
          </w:p>
          <w:p w14:paraId="73DE8133">
            <w:pPr>
              <w:pStyle w:val="24"/>
              <w:keepNext w:val="0"/>
              <w:keepLines w:val="0"/>
              <w:suppressLineNumbers w:val="0"/>
              <w:spacing w:before="0" w:beforeAutospacing="0" w:after="0" w:afterAutospacing="0"/>
              <w:ind w:left="0" w:right="0"/>
              <w:rPr>
                <w:rFonts w:hint="default" w:cs="Times New Roman" w:asciiTheme="minorHAnsi" w:hAnsiTheme="minorHAnsi" w:eastAsiaTheme="minorEastAsia"/>
                <w:color w:val="auto"/>
                <w:kern w:val="0"/>
                <w:sz w:val="24"/>
                <w:szCs w:val="20"/>
                <w:lang w:val="en-US" w:eastAsia="zh-CN" w:bidi="ar"/>
              </w:rPr>
            </w:pPr>
          </w:p>
        </w:tc>
      </w:tr>
    </w:tbl>
    <w:p w14:paraId="4919154E">
      <w:pPr>
        <w:adjustRightInd w:val="0"/>
        <w:snapToGrid w:val="0"/>
        <w:spacing w:line="360" w:lineRule="auto"/>
        <w:rPr>
          <w:rFonts w:hint="default" w:ascii="Times New Roman" w:hAnsi="Times New Roman" w:eastAsia="宋体" w:cs="Times New Roman"/>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046E098A">
      <w:pPr>
        <w:pStyle w:val="31"/>
        <w:keepNext w:val="0"/>
        <w:keepLines w:val="0"/>
        <w:pageBreakBefore w:val="0"/>
        <w:widowControl/>
        <w:kinsoku/>
        <w:wordWrap/>
        <w:overflowPunct/>
        <w:topLinePunct w:val="0"/>
        <w:autoSpaceDE/>
        <w:autoSpaceDN/>
        <w:bidi w:val="0"/>
        <w:adjustRightInd/>
        <w:snapToGrid/>
        <w:jc w:val="center"/>
        <w:textAlignment w:val="auto"/>
        <w:outlineLvl w:val="0"/>
        <w:rPr>
          <w:rFonts w:hint="default" w:ascii="Times New Roman" w:hAnsi="Times New Roman" w:eastAsia="宋体" w:cs="Times New Roman"/>
          <w:snapToGrid w:val="0"/>
          <w:color w:val="auto"/>
          <w:sz w:val="30"/>
          <w:szCs w:val="30"/>
        </w:rPr>
      </w:pPr>
      <w:bookmarkStart w:id="103" w:name="_Toc4095"/>
      <w:bookmarkStart w:id="104" w:name="_Toc2012"/>
      <w:r>
        <w:rPr>
          <w:rFonts w:hint="default" w:ascii="Times New Roman" w:hAnsi="Times New Roman" w:eastAsia="宋体" w:cs="Times New Roman"/>
          <w:snapToGrid w:val="0"/>
          <w:color w:val="auto"/>
          <w:sz w:val="30"/>
          <w:szCs w:val="30"/>
        </w:rPr>
        <w:t>五、</w:t>
      </w:r>
      <w:bookmarkStart w:id="105" w:name="_Hlk54167917"/>
      <w:r>
        <w:rPr>
          <w:rFonts w:hint="default" w:ascii="Times New Roman" w:hAnsi="Times New Roman" w:eastAsia="宋体" w:cs="Times New Roman"/>
          <w:snapToGrid w:val="0"/>
          <w:color w:val="auto"/>
          <w:sz w:val="30"/>
          <w:szCs w:val="30"/>
        </w:rPr>
        <w:t>环境保护措施监督检查清单</w:t>
      </w:r>
      <w:bookmarkEnd w:id="103"/>
      <w:bookmarkEnd w:id="104"/>
      <w:bookmarkEnd w:id="105"/>
    </w:p>
    <w:tbl>
      <w:tblPr>
        <w:tblStyle w:val="35"/>
        <w:tblW w:w="8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1755"/>
        <w:gridCol w:w="1666"/>
        <w:gridCol w:w="1714"/>
        <w:gridCol w:w="1887"/>
      </w:tblGrid>
      <w:tr w14:paraId="6B5956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tcBorders>
              <w:tl2br w:val="single" w:color="auto" w:sz="4" w:space="0"/>
            </w:tcBorders>
            <w:noWrap w:val="0"/>
            <w:vAlign w:val="top"/>
          </w:tcPr>
          <w:p w14:paraId="26597561">
            <w:pPr>
              <w:keepNext w:val="0"/>
              <w:keepLines w:val="0"/>
              <w:suppressLineNumbers w:val="0"/>
              <w:adjustRightInd w:val="0"/>
              <w:snapToGrid w:val="0"/>
              <w:spacing w:before="0" w:beforeAutospacing="0" w:after="0" w:afterAutospacing="0"/>
              <w:ind w:left="0" w:right="0" w:firstLine="840"/>
              <w:rPr>
                <w:rFonts w:hint="default" w:ascii="Times New Roman" w:hAnsi="Times New Roman" w:cs="Times New Roman"/>
                <w:color w:val="auto"/>
                <w:szCs w:val="21"/>
              </w:rPr>
            </w:pPr>
            <w:r>
              <w:rPr>
                <w:rFonts w:hint="default" w:ascii="Times New Roman" w:hAnsi="Times New Roman" w:cs="Times New Roman"/>
                <w:color w:val="auto"/>
                <w:szCs w:val="21"/>
              </w:rPr>
              <w:t>内容</w:t>
            </w:r>
          </w:p>
          <w:p w14:paraId="56030B31">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要素</w:t>
            </w:r>
          </w:p>
        </w:tc>
        <w:tc>
          <w:tcPr>
            <w:tcW w:w="1755" w:type="dxa"/>
            <w:noWrap w:val="0"/>
            <w:vAlign w:val="center"/>
          </w:tcPr>
          <w:p w14:paraId="25709F7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排放口(编号、</w:t>
            </w:r>
          </w:p>
          <w:p w14:paraId="3886B35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名称)/污染源</w:t>
            </w:r>
          </w:p>
        </w:tc>
        <w:tc>
          <w:tcPr>
            <w:tcW w:w="1666" w:type="dxa"/>
            <w:noWrap w:val="0"/>
            <w:vAlign w:val="center"/>
          </w:tcPr>
          <w:p w14:paraId="30DFD33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污染物项目</w:t>
            </w:r>
          </w:p>
        </w:tc>
        <w:tc>
          <w:tcPr>
            <w:tcW w:w="1714" w:type="dxa"/>
            <w:noWrap w:val="0"/>
            <w:vAlign w:val="center"/>
          </w:tcPr>
          <w:p w14:paraId="36B913F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环境保护措施</w:t>
            </w:r>
          </w:p>
        </w:tc>
        <w:tc>
          <w:tcPr>
            <w:tcW w:w="1887" w:type="dxa"/>
            <w:noWrap w:val="0"/>
            <w:vAlign w:val="center"/>
          </w:tcPr>
          <w:p w14:paraId="29E8B5A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执行标准</w:t>
            </w:r>
          </w:p>
        </w:tc>
      </w:tr>
      <w:tr w14:paraId="2F8A8A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969" w:hRule="atLeast"/>
          <w:jc w:val="center"/>
        </w:trPr>
        <w:tc>
          <w:tcPr>
            <w:tcW w:w="1778" w:type="dxa"/>
            <w:noWrap w:val="0"/>
            <w:vAlign w:val="center"/>
          </w:tcPr>
          <w:p w14:paraId="2C472B9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大气环境</w:t>
            </w:r>
          </w:p>
        </w:tc>
        <w:tc>
          <w:tcPr>
            <w:tcW w:w="1755" w:type="dxa"/>
            <w:noWrap w:val="0"/>
            <w:vAlign w:val="center"/>
          </w:tcPr>
          <w:p w14:paraId="7C419F3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eastAsiaTheme="minorEastAsia"/>
                <w:color w:val="auto"/>
                <w:szCs w:val="21"/>
                <w:lang w:val="en-US" w:eastAsia="zh-CN"/>
              </w:rPr>
              <w:t>装卸、堆场及外运时产生的扬尘</w:t>
            </w:r>
          </w:p>
        </w:tc>
        <w:tc>
          <w:tcPr>
            <w:tcW w:w="1666" w:type="dxa"/>
            <w:noWrap w:val="0"/>
            <w:vAlign w:val="center"/>
          </w:tcPr>
          <w:p w14:paraId="59EA5F1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pacing w:val="-11"/>
                <w:szCs w:val="21"/>
                <w:lang w:val="en-US" w:eastAsia="zh-CN"/>
              </w:rPr>
              <w:t>粉尘</w:t>
            </w:r>
          </w:p>
        </w:tc>
        <w:tc>
          <w:tcPr>
            <w:tcW w:w="1714" w:type="dxa"/>
            <w:noWrap w:val="0"/>
            <w:vAlign w:val="center"/>
          </w:tcPr>
          <w:p w14:paraId="1B1C7E9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lang w:val="en-US"/>
              </w:rPr>
            </w:pPr>
            <w:r>
              <w:rPr>
                <w:rFonts w:hint="eastAsia" w:ascii="Times New Roman" w:hAnsi="Times New Roman" w:cs="Times New Roman"/>
                <w:color w:val="auto"/>
                <w:szCs w:val="21"/>
                <w:lang w:val="en-US" w:eastAsia="zh-CN"/>
              </w:rPr>
              <w:t>设置水喷淋措施、雾炮防尘措施，无组织排放</w:t>
            </w:r>
          </w:p>
        </w:tc>
        <w:tc>
          <w:tcPr>
            <w:tcW w:w="1887" w:type="dxa"/>
            <w:noWrap w:val="0"/>
            <w:vAlign w:val="center"/>
          </w:tcPr>
          <w:p w14:paraId="5948AEC7">
            <w:pPr>
              <w:pStyle w:val="54"/>
              <w:keepNext w:val="0"/>
              <w:keepLines w:val="0"/>
              <w:suppressLineNumbers w:val="0"/>
              <w:spacing w:before="0" w:beforeAutospacing="0" w:after="0" w:afterAutospacing="0" w:line="274" w:lineRule="exact"/>
              <w:ind w:left="1" w:right="0"/>
              <w:jc w:val="both"/>
              <w:rPr>
                <w:rFonts w:hint="default" w:ascii="Times New Roman" w:hAnsi="Times New Roman" w:cs="Times New Roman"/>
                <w:color w:val="auto"/>
                <w:szCs w:val="21"/>
              </w:rPr>
            </w:pPr>
            <w:r>
              <w:rPr>
                <w:rFonts w:hint="default" w:ascii="Times New Roman" w:hAnsi="Times New Roman" w:cs="Times New Roman"/>
                <w:color w:val="auto"/>
                <w:sz w:val="21"/>
                <w:szCs w:val="21"/>
              </w:rPr>
              <w:t>达到</w:t>
            </w:r>
            <w:r>
              <w:rPr>
                <w:rFonts w:hint="default" w:ascii="Times New Roman" w:hAnsi="Times New Roman" w:cs="Times New Roman"/>
                <w:color w:val="auto"/>
                <w:sz w:val="21"/>
                <w:szCs w:val="21"/>
                <w:lang w:val="en-US" w:eastAsia="zh-CN"/>
              </w:rPr>
              <w:t>广东省地方标准《大气污染物排放限值》</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val="en-US" w:eastAsia="zh-CN"/>
              </w:rPr>
              <w:t>DB 44/27-2001）颗粒物第二时段无组织排放监控浓度限值</w:t>
            </w:r>
          </w:p>
        </w:tc>
      </w:tr>
      <w:tr w14:paraId="58998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62" w:hRule="atLeast"/>
          <w:jc w:val="center"/>
        </w:trPr>
        <w:tc>
          <w:tcPr>
            <w:tcW w:w="1778" w:type="dxa"/>
            <w:vMerge w:val="restart"/>
            <w:noWrap w:val="0"/>
            <w:vAlign w:val="center"/>
          </w:tcPr>
          <w:p w14:paraId="3B8453C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地表水环境</w:t>
            </w:r>
          </w:p>
        </w:tc>
        <w:tc>
          <w:tcPr>
            <w:tcW w:w="1755" w:type="dxa"/>
            <w:noWrap w:val="0"/>
            <w:vAlign w:val="center"/>
          </w:tcPr>
          <w:p w14:paraId="705C9C5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rPr>
              <w:t>生活污水</w:t>
            </w:r>
          </w:p>
        </w:tc>
        <w:tc>
          <w:tcPr>
            <w:tcW w:w="1666" w:type="dxa"/>
            <w:noWrap w:val="0"/>
            <w:vAlign w:val="center"/>
          </w:tcPr>
          <w:p w14:paraId="3996677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COD</w:t>
            </w:r>
            <w:r>
              <w:rPr>
                <w:rFonts w:hint="default" w:ascii="Times New Roman" w:hAnsi="Times New Roman" w:cs="Times New Roman"/>
                <w:color w:val="auto"/>
                <w:position w:val="-2"/>
                <w:sz w:val="14"/>
                <w:szCs w:val="14"/>
              </w:rPr>
              <w:t>Cr</w:t>
            </w:r>
            <w:r>
              <w:rPr>
                <w:rFonts w:hint="default" w:ascii="Times New Roman" w:hAnsi="Times New Roman" w:cs="Times New Roman"/>
                <w:color w:val="auto"/>
                <w:szCs w:val="21"/>
              </w:rPr>
              <w:t>、BOD</w:t>
            </w:r>
            <w:r>
              <w:rPr>
                <w:rFonts w:hint="default" w:ascii="Times New Roman" w:hAnsi="Times New Roman" w:cs="Times New Roman"/>
                <w:color w:val="auto"/>
                <w:position w:val="-2"/>
                <w:sz w:val="14"/>
                <w:szCs w:val="14"/>
              </w:rPr>
              <w:t>5</w:t>
            </w:r>
            <w:r>
              <w:rPr>
                <w:rFonts w:hint="default" w:ascii="Times New Roman" w:hAnsi="Times New Roman" w:cs="Times New Roman"/>
                <w:color w:val="auto"/>
                <w:szCs w:val="21"/>
              </w:rPr>
              <w:t>、 SS</w:t>
            </w:r>
          </w:p>
        </w:tc>
        <w:tc>
          <w:tcPr>
            <w:tcW w:w="1714" w:type="dxa"/>
            <w:noWrap w:val="0"/>
            <w:vAlign w:val="center"/>
          </w:tcPr>
          <w:p w14:paraId="10951946">
            <w:pPr>
              <w:pStyle w:val="54"/>
              <w:keepNext w:val="0"/>
              <w:keepLines w:val="0"/>
              <w:suppressLineNumbers w:val="0"/>
              <w:spacing w:before="70" w:beforeAutospacing="0" w:after="0" w:afterAutospacing="0" w:line="273" w:lineRule="auto"/>
              <w:ind w:left="0" w:right="148"/>
              <w:rPr>
                <w:rFonts w:hint="default" w:ascii="Times New Roman" w:hAnsi="Times New Roman" w:cs="Times New Roman"/>
                <w:color w:val="auto"/>
                <w:sz w:val="21"/>
                <w:szCs w:val="21"/>
              </w:rPr>
            </w:pPr>
            <w:r>
              <w:rPr>
                <w:rFonts w:hint="default" w:ascii="Times New Roman" w:hAnsi="Times New Roman" w:eastAsia="宋体" w:cs="Times New Roman"/>
                <w:color w:val="auto"/>
                <w:kern w:val="2"/>
                <w:sz w:val="21"/>
                <w:szCs w:val="21"/>
                <w:lang w:val="en-US" w:eastAsia="zh-CN" w:bidi="ar-SA"/>
              </w:rPr>
              <w:t>经隔10m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三级化粪池处理后</w:t>
            </w:r>
            <w:r>
              <w:rPr>
                <w:rFonts w:hint="eastAsia" w:ascii="Times New Roman" w:hAnsi="Times New Roman" w:eastAsia="宋体" w:cs="Times New Roman"/>
                <w:color w:val="auto"/>
                <w:kern w:val="2"/>
                <w:sz w:val="21"/>
                <w:szCs w:val="21"/>
                <w:lang w:val="en-US" w:eastAsia="zh-CN" w:bidi="ar-SA"/>
              </w:rPr>
              <w:t>回用于项目周边林地灌溉</w:t>
            </w:r>
            <w:r>
              <w:rPr>
                <w:rFonts w:hint="default" w:ascii="Times New Roman" w:hAnsi="Times New Roman" w:eastAsia="宋体" w:cs="Times New Roman"/>
                <w:color w:val="auto"/>
                <w:kern w:val="2"/>
                <w:sz w:val="21"/>
                <w:szCs w:val="21"/>
                <w:lang w:val="en-US" w:eastAsia="zh-CN" w:bidi="ar-SA"/>
              </w:rPr>
              <w:t>。</w:t>
            </w:r>
          </w:p>
        </w:tc>
        <w:tc>
          <w:tcPr>
            <w:tcW w:w="1887" w:type="dxa"/>
            <w:noWrap w:val="0"/>
            <w:vAlign w:val="center"/>
          </w:tcPr>
          <w:p w14:paraId="3A25405F">
            <w:pPr>
              <w:keepNext w:val="0"/>
              <w:keepLines w:val="0"/>
              <w:suppressLineNumbers w:val="0"/>
              <w:adjustRightInd w:val="0"/>
              <w:snapToGrid w:val="0"/>
              <w:spacing w:before="0" w:beforeAutospacing="0" w:after="0" w:afterAutospacing="0"/>
              <w:ind w:left="0" w:right="0"/>
              <w:jc w:val="both"/>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《农田灌溉水质标准》（GB 5084-2021）旱地作物标准</w:t>
            </w:r>
          </w:p>
        </w:tc>
      </w:tr>
      <w:tr w14:paraId="46B8E2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62" w:hRule="atLeast"/>
          <w:jc w:val="center"/>
        </w:trPr>
        <w:tc>
          <w:tcPr>
            <w:tcW w:w="1778" w:type="dxa"/>
            <w:vMerge w:val="continue"/>
            <w:noWrap w:val="0"/>
            <w:vAlign w:val="center"/>
          </w:tcPr>
          <w:p w14:paraId="56397EC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p>
        </w:tc>
        <w:tc>
          <w:tcPr>
            <w:tcW w:w="1755" w:type="dxa"/>
            <w:noWrap w:val="0"/>
            <w:vAlign w:val="center"/>
          </w:tcPr>
          <w:p w14:paraId="39C3C9C0">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szCs w:val="21"/>
                <w:lang w:val="en-US" w:eastAsia="zh-CN"/>
              </w:rPr>
            </w:pPr>
          </w:p>
          <w:p w14:paraId="54F1668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车辆清洗废水</w:t>
            </w:r>
          </w:p>
        </w:tc>
        <w:tc>
          <w:tcPr>
            <w:tcW w:w="1666" w:type="dxa"/>
            <w:noWrap w:val="0"/>
            <w:vAlign w:val="center"/>
          </w:tcPr>
          <w:p w14:paraId="6DDF88C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szCs w:val="21"/>
                <w:vertAlign w:val="baseline"/>
                <w:lang w:val="en-US" w:eastAsia="zh-CN"/>
              </w:rPr>
            </w:pPr>
            <w:r>
              <w:rPr>
                <w:rFonts w:hint="eastAsia" w:ascii="Times New Roman" w:hAnsi="Times New Roman" w:cs="Times New Roman"/>
                <w:color w:val="auto"/>
                <w:szCs w:val="21"/>
                <w:lang w:val="en-US" w:eastAsia="zh-CN"/>
              </w:rPr>
              <w:t>pH（无纲量）、色度、浊度、COD、BOD</w:t>
            </w:r>
            <w:r>
              <w:rPr>
                <w:rFonts w:hint="eastAsia" w:ascii="Times New Roman" w:hAnsi="Times New Roman" w:cs="Times New Roman"/>
                <w:color w:val="auto"/>
                <w:szCs w:val="21"/>
                <w:vertAlign w:val="subscript"/>
                <w:lang w:val="en-US" w:eastAsia="zh-CN"/>
              </w:rPr>
              <w:t>5</w:t>
            </w:r>
            <w:r>
              <w:rPr>
                <w:rFonts w:hint="eastAsia" w:ascii="Times New Roman" w:hAnsi="Times New Roman" w:cs="Times New Roman"/>
                <w:color w:val="auto"/>
                <w:szCs w:val="21"/>
                <w:vertAlign w:val="baseline"/>
                <w:lang w:val="en-US" w:eastAsia="zh-CN"/>
              </w:rPr>
              <w:t>、氨氮、总磷、总氮</w:t>
            </w:r>
          </w:p>
        </w:tc>
        <w:tc>
          <w:tcPr>
            <w:tcW w:w="1714" w:type="dxa"/>
            <w:noWrap w:val="0"/>
            <w:vAlign w:val="center"/>
          </w:tcPr>
          <w:p w14:paraId="5BF2C81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回用于车辆清洗工序，不外排</w:t>
            </w:r>
          </w:p>
        </w:tc>
        <w:tc>
          <w:tcPr>
            <w:tcW w:w="1887" w:type="dxa"/>
            <w:noWrap w:val="0"/>
            <w:vAlign w:val="center"/>
          </w:tcPr>
          <w:p w14:paraId="0DCB0B35">
            <w:pPr>
              <w:keepNext w:val="0"/>
              <w:keepLines w:val="0"/>
              <w:suppressLineNumbers w:val="0"/>
              <w:adjustRightInd w:val="0"/>
              <w:snapToGrid w:val="0"/>
              <w:spacing w:before="0" w:beforeAutospacing="0" w:after="0" w:afterAutospacing="0"/>
              <w:ind w:left="0" w:right="0"/>
              <w:jc w:val="both"/>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执行《城市污水再生利用 工业用水水质》（GB/T 19923-2024）中的洗涤用水标准</w:t>
            </w:r>
          </w:p>
        </w:tc>
      </w:tr>
      <w:tr w14:paraId="4F757A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66" w:hRule="atLeast"/>
          <w:jc w:val="center"/>
        </w:trPr>
        <w:tc>
          <w:tcPr>
            <w:tcW w:w="1778" w:type="dxa"/>
            <w:noWrap w:val="0"/>
            <w:vAlign w:val="center"/>
          </w:tcPr>
          <w:p w14:paraId="581182A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w:t>
            </w:r>
          </w:p>
        </w:tc>
        <w:tc>
          <w:tcPr>
            <w:tcW w:w="1755" w:type="dxa"/>
            <w:noWrap w:val="0"/>
            <w:vAlign w:val="center"/>
          </w:tcPr>
          <w:p w14:paraId="189C4D64">
            <w:pPr>
              <w:pStyle w:val="54"/>
              <w:keepNext w:val="0"/>
              <w:keepLines w:val="0"/>
              <w:suppressLineNumbers w:val="0"/>
              <w:spacing w:before="0" w:beforeAutospacing="0" w:after="0" w:afterAutospacing="0" w:line="261" w:lineRule="exact"/>
              <w:ind w:left="0" w:right="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车辆噪声</w:t>
            </w:r>
          </w:p>
        </w:tc>
        <w:tc>
          <w:tcPr>
            <w:tcW w:w="1666" w:type="dxa"/>
            <w:noWrap w:val="0"/>
            <w:vAlign w:val="center"/>
          </w:tcPr>
          <w:p w14:paraId="0F1E1304">
            <w:pPr>
              <w:pStyle w:val="54"/>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lang w:val="en-US"/>
              </w:rPr>
            </w:pPr>
            <w:r>
              <w:rPr>
                <w:rFonts w:hint="default" w:ascii="Times New Roman" w:hAnsi="Times New Roman" w:eastAsia="宋体" w:cs="Times New Roman"/>
                <w:color w:val="auto"/>
                <w:kern w:val="2"/>
                <w:sz w:val="21"/>
                <w:szCs w:val="21"/>
                <w:lang w:val="en-US" w:eastAsia="zh-CN" w:bidi="ar-SA"/>
              </w:rPr>
              <w:t>运输车辆噪声</w:t>
            </w:r>
            <w:r>
              <w:rPr>
                <w:rFonts w:hint="eastAsia" w:ascii="Times New Roman" w:hAnsi="Times New Roman" w:eastAsia="宋体" w:cs="Times New Roman"/>
                <w:color w:val="auto"/>
                <w:kern w:val="2"/>
                <w:sz w:val="21"/>
                <w:szCs w:val="21"/>
                <w:lang w:val="en-US" w:eastAsia="zh-CN" w:bidi="ar-SA"/>
              </w:rPr>
              <w:t>及装卸噪声</w:t>
            </w:r>
          </w:p>
        </w:tc>
        <w:tc>
          <w:tcPr>
            <w:tcW w:w="1714" w:type="dxa"/>
            <w:noWrap w:val="0"/>
            <w:vAlign w:val="center"/>
          </w:tcPr>
          <w:p w14:paraId="07C0A11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szCs w:val="21"/>
                <w:lang w:eastAsia="zh-CN"/>
              </w:rPr>
            </w:pPr>
            <w:r>
              <w:rPr>
                <w:rFonts w:hint="default" w:ascii="Times New Roman" w:hAnsi="Times New Roman" w:cs="Times New Roman"/>
                <w:color w:val="auto"/>
                <w:szCs w:val="21"/>
                <w:lang w:val="en-US" w:eastAsia="zh-CN"/>
              </w:rPr>
              <w:t>合理安排运输时间</w:t>
            </w:r>
            <w:r>
              <w:rPr>
                <w:rFonts w:hint="default" w:ascii="Times New Roman" w:hAnsi="Times New Roman" w:cs="Times New Roman"/>
                <w:color w:val="auto"/>
                <w:szCs w:val="21"/>
              </w:rPr>
              <w:t>等措施降低噪声的排放</w:t>
            </w:r>
          </w:p>
        </w:tc>
        <w:tc>
          <w:tcPr>
            <w:tcW w:w="1887" w:type="dxa"/>
            <w:noWrap w:val="0"/>
            <w:vAlign w:val="center"/>
          </w:tcPr>
          <w:p w14:paraId="075A12C2">
            <w:pPr>
              <w:pStyle w:val="54"/>
              <w:keepNext w:val="0"/>
              <w:keepLines w:val="0"/>
              <w:suppressLineNumbers w:val="0"/>
              <w:bidi w:val="0"/>
              <w:spacing w:before="0" w:beforeAutospacing="0" w:after="0" w:afterAutospacing="0"/>
              <w:ind w:left="0" w:right="0"/>
              <w:jc w:val="both"/>
              <w:rPr>
                <w:rFonts w:hint="default" w:ascii="Times New Roman" w:hAnsi="Times New Roman" w:cs="Times New Roman"/>
                <w:color w:val="auto"/>
                <w:szCs w:val="21"/>
              </w:rPr>
            </w:pPr>
            <w:r>
              <w:rPr>
                <w:rFonts w:hint="default" w:ascii="Times New Roman" w:hAnsi="Times New Roman" w:cs="Times New Roman" w:eastAsiaTheme="minorEastAsia"/>
                <w:color w:val="auto"/>
                <w:kern w:val="2"/>
                <w:sz w:val="21"/>
                <w:szCs w:val="21"/>
                <w:lang w:val="en-US" w:eastAsia="zh-CN" w:bidi="ar-SA"/>
              </w:rPr>
              <w:t>达到《工业企业厂界环境噪声排放标准</w:t>
            </w:r>
            <w:r>
              <w:rPr>
                <w:rFonts w:hint="default" w:ascii="Times New Roman" w:hAnsi="Times New Roman"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（GB12348-2008）</w:t>
            </w:r>
            <w:r>
              <w:rPr>
                <w:rFonts w:hint="eastAsia" w:ascii="Times New Roman" w:hAnsi="Times New Roman" w:cs="Times New Roman"/>
                <w:color w:val="auto"/>
                <w:kern w:val="2"/>
                <w:sz w:val="21"/>
                <w:szCs w:val="21"/>
                <w:lang w:val="en-US" w:eastAsia="zh-CN" w:bidi="ar-SA"/>
              </w:rPr>
              <w:t>2</w:t>
            </w:r>
            <w:r>
              <w:rPr>
                <w:rFonts w:hint="default" w:ascii="Times New Roman" w:hAnsi="Times New Roman" w:cs="Times New Roman" w:eastAsiaTheme="minorEastAsia"/>
                <w:color w:val="auto"/>
                <w:kern w:val="2"/>
                <w:sz w:val="21"/>
                <w:szCs w:val="21"/>
                <w:lang w:val="en-US" w:eastAsia="zh-CN" w:bidi="ar-SA"/>
              </w:rPr>
              <w:t>类标准要求</w:t>
            </w:r>
          </w:p>
        </w:tc>
      </w:tr>
      <w:tr w14:paraId="7D3985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noWrap w:val="0"/>
            <w:vAlign w:val="center"/>
          </w:tcPr>
          <w:p w14:paraId="14AEA12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电磁辐射</w:t>
            </w:r>
          </w:p>
        </w:tc>
        <w:tc>
          <w:tcPr>
            <w:tcW w:w="1755" w:type="dxa"/>
            <w:noWrap w:val="0"/>
            <w:vAlign w:val="center"/>
          </w:tcPr>
          <w:p w14:paraId="4ECA165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1666" w:type="dxa"/>
            <w:noWrap w:val="0"/>
            <w:vAlign w:val="center"/>
          </w:tcPr>
          <w:p w14:paraId="38F1B17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1714" w:type="dxa"/>
            <w:noWrap w:val="0"/>
            <w:vAlign w:val="center"/>
          </w:tcPr>
          <w:p w14:paraId="28662E6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1887" w:type="dxa"/>
            <w:noWrap w:val="0"/>
            <w:vAlign w:val="center"/>
          </w:tcPr>
          <w:p w14:paraId="18AF8AA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7079E2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778" w:type="dxa"/>
            <w:noWrap w:val="0"/>
            <w:vAlign w:val="center"/>
          </w:tcPr>
          <w:p w14:paraId="5E87E9C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固体废物</w:t>
            </w:r>
          </w:p>
        </w:tc>
        <w:tc>
          <w:tcPr>
            <w:tcW w:w="7022" w:type="dxa"/>
            <w:gridSpan w:val="4"/>
            <w:noWrap w:val="0"/>
            <w:vAlign w:val="center"/>
          </w:tcPr>
          <w:p w14:paraId="2E1346AB">
            <w:pPr>
              <w:pStyle w:val="54"/>
              <w:keepNext w:val="0"/>
              <w:keepLines w:val="0"/>
              <w:suppressLineNumbers w:val="0"/>
              <w:spacing w:before="0" w:beforeAutospacing="0" w:after="0" w:afterAutospacing="0" w:line="360" w:lineRule="auto"/>
              <w:ind w:left="0" w:right="0" w:firstLine="420" w:firstLineChars="200"/>
              <w:jc w:val="left"/>
              <w:rPr>
                <w:rFonts w:hint="eastAsia" w:ascii="Times New Roman" w:hAnsi="Times New Roman" w:cs="Times New Roman" w:eastAsiaTheme="minorEastAsia"/>
                <w:color w:val="auto"/>
                <w:szCs w:val="21"/>
                <w:lang w:eastAsia="zh-CN"/>
              </w:rPr>
            </w:pPr>
            <w:r>
              <w:rPr>
                <w:rFonts w:hint="default" w:ascii="Times New Roman" w:hAnsi="Times New Roman" w:cs="Times New Roman"/>
                <w:color w:val="auto"/>
                <w:sz w:val="21"/>
                <w:szCs w:val="21"/>
              </w:rPr>
              <w:t>生活垃圾通过</w:t>
            </w:r>
            <w:r>
              <w:rPr>
                <w:rFonts w:hint="default" w:ascii="Times New Roman" w:hAnsi="Times New Roman" w:cs="Times New Roman"/>
                <w:color w:val="auto"/>
                <w:spacing w:val="-3"/>
                <w:sz w:val="21"/>
                <w:szCs w:val="21"/>
              </w:rPr>
              <w:t>设置垃圾堆放点，分类收集后由环卫部门统一清运处理，集中后</w:t>
            </w:r>
            <w:r>
              <w:rPr>
                <w:rFonts w:hint="default" w:ascii="Times New Roman" w:hAnsi="Times New Roman" w:cs="Times New Roman"/>
                <w:color w:val="auto"/>
                <w:spacing w:val="-101"/>
                <w:sz w:val="21"/>
                <w:szCs w:val="21"/>
              </w:rPr>
              <w:t xml:space="preserve"> </w:t>
            </w:r>
            <w:r>
              <w:rPr>
                <w:rFonts w:hint="default" w:ascii="Times New Roman" w:hAnsi="Times New Roman" w:cs="Times New Roman"/>
                <w:color w:val="auto"/>
                <w:sz w:val="21"/>
                <w:szCs w:val="21"/>
              </w:rPr>
              <w:t>交由环卫部门</w:t>
            </w:r>
            <w:r>
              <w:rPr>
                <w:rFonts w:hint="eastAsia" w:ascii="Times New Roman" w:hAnsi="Times New Roman" w:cs="Times New Roman"/>
                <w:color w:val="auto"/>
                <w:sz w:val="21"/>
                <w:szCs w:val="21"/>
                <w:lang w:eastAsia="zh-CN"/>
              </w:rPr>
              <w:t>。</w:t>
            </w:r>
          </w:p>
        </w:tc>
      </w:tr>
      <w:tr w14:paraId="347F14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778" w:type="dxa"/>
            <w:noWrap w:val="0"/>
            <w:vAlign w:val="center"/>
          </w:tcPr>
          <w:p w14:paraId="535E295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土壤及地下水</w:t>
            </w:r>
          </w:p>
          <w:p w14:paraId="1C7F389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污染防治措施</w:t>
            </w:r>
          </w:p>
        </w:tc>
        <w:tc>
          <w:tcPr>
            <w:tcW w:w="7022" w:type="dxa"/>
            <w:gridSpan w:val="4"/>
            <w:noWrap w:val="0"/>
            <w:vAlign w:val="center"/>
          </w:tcPr>
          <w:p w14:paraId="5C2E858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b w:val="0"/>
                <w:bCs w:val="0"/>
                <w:color w:val="auto"/>
                <w:szCs w:val="21"/>
                <w:lang w:val="en-US" w:eastAsia="zh-CN"/>
              </w:rPr>
              <w:t>厂区地面硬底化</w:t>
            </w:r>
          </w:p>
        </w:tc>
      </w:tr>
      <w:tr w14:paraId="5004C5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1778" w:type="dxa"/>
            <w:noWrap w:val="0"/>
            <w:vAlign w:val="center"/>
          </w:tcPr>
          <w:p w14:paraId="37A8792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生态保护措施</w:t>
            </w:r>
          </w:p>
        </w:tc>
        <w:tc>
          <w:tcPr>
            <w:tcW w:w="7022" w:type="dxa"/>
            <w:gridSpan w:val="4"/>
            <w:noWrap w:val="0"/>
            <w:vAlign w:val="center"/>
          </w:tcPr>
          <w:p w14:paraId="3A23EBF6">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厂区周边</w:t>
            </w:r>
            <w:r>
              <w:rPr>
                <w:rFonts w:hint="eastAsia" w:ascii="Times New Roman" w:hAnsi="Times New Roman" w:cs="Times New Roman"/>
                <w:color w:val="auto"/>
                <w:szCs w:val="21"/>
                <w:lang w:val="en-US" w:eastAsia="zh-CN"/>
              </w:rPr>
              <w:t>均为林地</w:t>
            </w:r>
            <w:r>
              <w:rPr>
                <w:rFonts w:hint="default" w:ascii="Times New Roman" w:hAnsi="Times New Roman" w:cs="Times New Roman"/>
                <w:color w:val="auto"/>
                <w:szCs w:val="21"/>
              </w:rPr>
              <w:t>。</w:t>
            </w:r>
          </w:p>
        </w:tc>
      </w:tr>
      <w:tr w14:paraId="60F449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1778" w:type="dxa"/>
            <w:noWrap w:val="0"/>
            <w:vAlign w:val="center"/>
          </w:tcPr>
          <w:p w14:paraId="6FB423C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环境风险</w:t>
            </w:r>
          </w:p>
          <w:p w14:paraId="7B884CD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防范措施</w:t>
            </w:r>
          </w:p>
        </w:tc>
        <w:tc>
          <w:tcPr>
            <w:tcW w:w="7022" w:type="dxa"/>
            <w:gridSpan w:val="4"/>
            <w:noWrap w:val="0"/>
            <w:vAlign w:val="center"/>
          </w:tcPr>
          <w:p w14:paraId="75385313">
            <w:pPr>
              <w:pStyle w:val="3"/>
              <w:keepNext w:val="0"/>
              <w:keepLines w:val="0"/>
              <w:suppressLineNumbers w:val="0"/>
              <w:spacing w:before="0" w:beforeAutospacing="0" w:after="0" w:afterAutospacing="0" w:line="360" w:lineRule="auto"/>
              <w:ind w:left="0" w:leftChars="0" w:right="34" w:firstLine="412" w:firstLineChars="200"/>
              <w:jc w:val="left"/>
              <w:rPr>
                <w:rFonts w:hint="default" w:ascii="Times New Roman" w:hAnsi="Times New Roman" w:cs="Times New Roman"/>
                <w:color w:val="auto"/>
                <w:szCs w:val="21"/>
              </w:rPr>
            </w:pPr>
            <w:r>
              <w:rPr>
                <w:rFonts w:hint="default" w:ascii="Times New Roman" w:hAnsi="Times New Roman" w:cs="Times New Roman"/>
                <w:b w:val="0"/>
                <w:bCs w:val="0"/>
                <w:color w:val="auto"/>
                <w:spacing w:val="-2"/>
                <w:sz w:val="21"/>
                <w:szCs w:val="21"/>
              </w:rPr>
              <w:t>加强对职工的安全培训，</w:t>
            </w:r>
            <w:r>
              <w:rPr>
                <w:rFonts w:hint="default" w:ascii="Times New Roman" w:hAnsi="Times New Roman" w:cs="Times New Roman"/>
                <w:b w:val="0"/>
                <w:bCs w:val="0"/>
                <w:color w:val="auto"/>
                <w:spacing w:val="-2"/>
                <w:sz w:val="21"/>
                <w:szCs w:val="21"/>
                <w:lang w:val="en-US" w:eastAsia="zh-CN"/>
              </w:rPr>
              <w:t>生产</w:t>
            </w:r>
            <w:r>
              <w:rPr>
                <w:rFonts w:hint="default" w:ascii="Times New Roman" w:hAnsi="Times New Roman" w:cs="Times New Roman"/>
                <w:b w:val="0"/>
                <w:bCs w:val="0"/>
                <w:color w:val="auto"/>
                <w:spacing w:val="-6"/>
                <w:sz w:val="21"/>
                <w:szCs w:val="21"/>
              </w:rPr>
              <w:t>过程应注意防范火灾，注意通风换气，</w:t>
            </w:r>
            <w:r>
              <w:rPr>
                <w:rFonts w:hint="default" w:ascii="Times New Roman" w:hAnsi="Times New Roman" w:cs="Times New Roman"/>
                <w:b w:val="0"/>
                <w:bCs w:val="0"/>
                <w:color w:val="auto"/>
                <w:sz w:val="21"/>
                <w:szCs w:val="21"/>
              </w:rPr>
              <w:t>定期检查雨污管网、隔油池、化粪池等设施的防渗情况。</w:t>
            </w:r>
          </w:p>
        </w:tc>
      </w:tr>
      <w:tr w14:paraId="338D7C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778" w:type="dxa"/>
            <w:noWrap w:val="0"/>
            <w:vAlign w:val="center"/>
          </w:tcPr>
          <w:p w14:paraId="59FA0AA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其他环境</w:t>
            </w:r>
          </w:p>
          <w:p w14:paraId="510BDC8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管理要求</w:t>
            </w:r>
          </w:p>
        </w:tc>
        <w:tc>
          <w:tcPr>
            <w:tcW w:w="7022" w:type="dxa"/>
            <w:gridSpan w:val="4"/>
            <w:noWrap w:val="0"/>
            <w:vAlign w:val="center"/>
          </w:tcPr>
          <w:p w14:paraId="77F66252">
            <w:pPr>
              <w:keepNext w:val="0"/>
              <w:keepLines w:val="0"/>
              <w:suppressLineNumbers w:val="0"/>
              <w:adjustRightInd w:val="0"/>
              <w:snapToGri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rPr>
            </w:pPr>
            <w:r>
              <w:rPr>
                <w:rFonts w:hint="default" w:ascii="Times New Roman" w:hAnsi="Times New Roman" w:eastAsia="宋体" w:cs="Times New Roman"/>
                <w:color w:val="auto"/>
              </w:rPr>
              <w:t>建设单位必须高度重视环境保护工作。设立内部环境保护管理机构，专人负责环境保护工作，实行定岗定员，岗位责任制，负责各生产环节的环境保护管理，保证环保设施的正常运行。</w:t>
            </w:r>
          </w:p>
          <w:p w14:paraId="462A6DC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p>
        </w:tc>
      </w:tr>
    </w:tbl>
    <w:p w14:paraId="3853893A">
      <w:pPr>
        <w:pStyle w:val="31"/>
        <w:keepNext w:val="0"/>
        <w:keepLines w:val="0"/>
        <w:pageBreakBefore w:val="0"/>
        <w:widowControl/>
        <w:kinsoku/>
        <w:wordWrap/>
        <w:overflowPunct/>
        <w:topLinePunct w:val="0"/>
        <w:autoSpaceDE/>
        <w:autoSpaceDN/>
        <w:bidi w:val="0"/>
        <w:adjustRightInd/>
        <w:snapToGrid/>
        <w:jc w:val="center"/>
        <w:textAlignment w:val="auto"/>
        <w:outlineLvl w:val="0"/>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snapToGrid w:val="0"/>
          <w:color w:val="auto"/>
        </w:rPr>
        <w:br w:type="page"/>
      </w:r>
      <w:bookmarkStart w:id="106" w:name="_Toc12720"/>
      <w:bookmarkStart w:id="107" w:name="_Toc22984"/>
      <w:r>
        <w:rPr>
          <w:rFonts w:hint="default" w:ascii="Times New Roman" w:hAnsi="Times New Roman" w:eastAsia="宋体" w:cs="Times New Roman"/>
          <w:snapToGrid w:val="0"/>
          <w:color w:val="auto"/>
          <w:sz w:val="30"/>
          <w:szCs w:val="30"/>
        </w:rPr>
        <w:t>六、结论</w:t>
      </w:r>
      <w:bookmarkEnd w:id="106"/>
      <w:bookmarkEnd w:id="107"/>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3E9E2D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14:paraId="5F5DF8D9">
            <w:pPr>
              <w:pStyle w:val="72"/>
              <w:keepNext w:val="0"/>
              <w:keepLines w:val="0"/>
              <w:suppressLineNumbers w:val="0"/>
              <w:spacing w:before="0" w:beforeAutospacing="0" w:after="0" w:afterAutospacing="0" w:line="384" w:lineRule="auto"/>
              <w:ind w:left="0" w:right="0" w:firstLine="540" w:firstLineChars="225"/>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符合国家和地方产业政策，符合当地城市规划和环境保护规划，贯彻了“清洁生产、总量控制和达标排放”的原则，采取的“三废”治理措施经济技术可行、有效，工程实施后可满足当地环境质量要求。评价认为，在严格执行环保“三同时”制度和外排污染物稳定达标排放的前提下，</w:t>
            </w:r>
            <w:r>
              <w:rPr>
                <w:rFonts w:hint="default" w:ascii="Times New Roman" w:hAnsi="Times New Roman" w:eastAsia="宋体" w:cs="Times New Roman"/>
                <w:b/>
                <w:bCs/>
                <w:color w:val="auto"/>
                <w:sz w:val="24"/>
                <w:szCs w:val="24"/>
              </w:rPr>
              <w:t>从环境保护角度而言本项目建设是可行的。</w:t>
            </w:r>
          </w:p>
          <w:p w14:paraId="73BBF27B">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auto"/>
                <w:sz w:val="24"/>
              </w:rPr>
            </w:pPr>
          </w:p>
        </w:tc>
      </w:tr>
    </w:tbl>
    <w:p w14:paraId="11E4628C">
      <w:pPr>
        <w:rPr>
          <w:rFonts w:hint="default" w:ascii="Times New Roman" w:hAnsi="Times New Roman" w:eastAsia="宋体"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1213175B">
      <w:pPr>
        <w:pStyle w:val="31"/>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textAlignment w:val="auto"/>
        <w:outlineLvl w:val="9"/>
        <w:rPr>
          <w:rFonts w:hint="default" w:ascii="Times New Roman" w:hAnsi="Times New Roman" w:eastAsia="宋体" w:cs="Times New Roman"/>
          <w:snapToGrid w:val="0"/>
          <w:color w:val="auto"/>
          <w:sz w:val="32"/>
          <w:szCs w:val="32"/>
        </w:rPr>
      </w:pPr>
      <w:bookmarkStart w:id="108" w:name="_Toc26751"/>
      <w:bookmarkStart w:id="109" w:name="_Toc24475"/>
      <w:bookmarkStart w:id="110" w:name="_Toc1965"/>
      <w:bookmarkStart w:id="111" w:name="_Toc926"/>
      <w:r>
        <w:rPr>
          <w:rFonts w:hint="default" w:ascii="Times New Roman" w:hAnsi="Times New Roman" w:eastAsia="宋体" w:cs="Times New Roman"/>
          <w:snapToGrid w:val="0"/>
          <w:color w:val="auto"/>
          <w:sz w:val="32"/>
          <w:szCs w:val="32"/>
        </w:rPr>
        <w:t>附表</w:t>
      </w:r>
      <w:bookmarkEnd w:id="108"/>
      <w:bookmarkEnd w:id="109"/>
      <w:bookmarkEnd w:id="110"/>
      <w:bookmarkEnd w:id="111"/>
    </w:p>
    <w:p w14:paraId="717EF66B">
      <w:pPr>
        <w:pStyle w:val="31"/>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Fonts w:hint="default" w:ascii="Times New Roman" w:hAnsi="Times New Roman" w:eastAsia="宋体" w:cs="Times New Roman"/>
          <w:snapToGrid w:val="0"/>
          <w:color w:val="auto"/>
          <w:sz w:val="38"/>
          <w:szCs w:val="38"/>
        </w:rPr>
      </w:pPr>
      <w:bookmarkStart w:id="112" w:name="_Toc2379"/>
      <w:bookmarkStart w:id="113" w:name="_Toc13244"/>
      <w:bookmarkStart w:id="114" w:name="_Toc6223"/>
      <w:bookmarkStart w:id="115" w:name="_Toc25050"/>
      <w:bookmarkStart w:id="116" w:name="_Toc31637"/>
      <w:bookmarkStart w:id="117" w:name="_Toc9666"/>
      <w:bookmarkStart w:id="118" w:name="_Toc11891"/>
      <w:bookmarkStart w:id="119" w:name="_Toc16082"/>
      <w:r>
        <w:rPr>
          <w:rFonts w:hint="default" w:ascii="Times New Roman" w:hAnsi="Times New Roman" w:eastAsia="宋体" w:cs="Times New Roman"/>
          <w:snapToGrid w:val="0"/>
          <w:color w:val="auto"/>
          <w:sz w:val="38"/>
          <w:szCs w:val="38"/>
        </w:rPr>
        <w:t>建设项目污染物排放量汇总表</w:t>
      </w:r>
      <w:bookmarkEnd w:id="112"/>
      <w:bookmarkEnd w:id="113"/>
      <w:bookmarkEnd w:id="114"/>
      <w:bookmarkEnd w:id="115"/>
      <w:bookmarkEnd w:id="116"/>
      <w:bookmarkEnd w:id="117"/>
      <w:bookmarkEnd w:id="118"/>
      <w:bookmarkEnd w:id="119"/>
    </w:p>
    <w:p w14:paraId="273A87AD">
      <w:pPr>
        <w:outlineLvl w:val="9"/>
        <w:rPr>
          <w:rFonts w:hint="default" w:ascii="Times New Roman" w:hAnsi="Times New Roman" w:eastAsia="宋体" w:cs="Times New Roman"/>
          <w:color w:val="auto"/>
        </w:rPr>
      </w:pPr>
    </w:p>
    <w:tbl>
      <w:tblPr>
        <w:tblStyle w:val="35"/>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98"/>
        <w:gridCol w:w="1620"/>
        <w:gridCol w:w="1672"/>
        <w:gridCol w:w="1305"/>
        <w:gridCol w:w="1559"/>
        <w:gridCol w:w="1761"/>
        <w:gridCol w:w="1552"/>
        <w:gridCol w:w="1233"/>
      </w:tblGrid>
      <w:tr w14:paraId="0DE4A2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88" w:type="dxa"/>
            <w:tcBorders>
              <w:tl2br w:val="single" w:color="auto" w:sz="4" w:space="0"/>
            </w:tcBorders>
            <w:noWrap w:val="0"/>
            <w:tcMar>
              <w:left w:w="28" w:type="dxa"/>
              <w:right w:w="28" w:type="dxa"/>
            </w:tcMar>
            <w:vAlign w:val="center"/>
          </w:tcPr>
          <w:p w14:paraId="3E085EFF">
            <w:pPr>
              <w:pStyle w:val="73"/>
              <w:keepNext w:val="0"/>
              <w:keepLines w:val="0"/>
              <w:suppressLineNumbers w:val="0"/>
              <w:spacing w:before="0" w:beforeLines="0" w:beforeAutospacing="0" w:after="0" w:afterLines="0" w:afterAutospacing="0" w:line="240" w:lineRule="auto"/>
              <w:ind w:right="0"/>
              <w:jc w:val="right"/>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项目</w:t>
            </w:r>
          </w:p>
          <w:p w14:paraId="174093EC">
            <w:pPr>
              <w:pStyle w:val="73"/>
              <w:keepNext w:val="0"/>
              <w:keepLines w:val="0"/>
              <w:suppressLineNumbers w:val="0"/>
              <w:spacing w:before="0" w:beforeLines="0" w:beforeAutospacing="0" w:after="0" w:afterLines="0" w:afterAutospacing="0" w:line="240" w:lineRule="auto"/>
              <w:ind w:right="0"/>
              <w:jc w:val="left"/>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分类</w:t>
            </w:r>
          </w:p>
        </w:tc>
        <w:tc>
          <w:tcPr>
            <w:tcW w:w="1498" w:type="dxa"/>
            <w:noWrap w:val="0"/>
            <w:tcMar>
              <w:left w:w="28" w:type="dxa"/>
              <w:right w:w="28" w:type="dxa"/>
            </w:tcMar>
            <w:vAlign w:val="center"/>
          </w:tcPr>
          <w:p w14:paraId="064FEFA6">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污染物名称</w:t>
            </w:r>
          </w:p>
        </w:tc>
        <w:tc>
          <w:tcPr>
            <w:tcW w:w="1620" w:type="dxa"/>
            <w:noWrap w:val="0"/>
            <w:tcMar>
              <w:left w:w="28" w:type="dxa"/>
              <w:right w:w="28" w:type="dxa"/>
            </w:tcMar>
            <w:vAlign w:val="center"/>
          </w:tcPr>
          <w:p w14:paraId="108EAF5C">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现有工程</w:t>
            </w:r>
          </w:p>
          <w:p w14:paraId="10FD3001">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排放量</w:t>
            </w:r>
            <w:r>
              <w:rPr>
                <w:rFonts w:hint="default" w:ascii="Times New Roman"/>
                <w:snapToGrid w:val="0"/>
                <w:color w:val="auto"/>
                <w:spacing w:val="-6"/>
                <w:kern w:val="21"/>
                <w:szCs w:val="21"/>
                <w:lang w:val="en-US" w:eastAsia="zh-CN"/>
              </w:rPr>
              <w:fldChar w:fldCharType="begin"/>
            </w:r>
            <w:r>
              <w:rPr>
                <w:rFonts w:hint="default" w:ascii="Times New Roman"/>
                <w:snapToGrid w:val="0"/>
                <w:color w:val="auto"/>
                <w:spacing w:val="-6"/>
                <w:kern w:val="21"/>
                <w:szCs w:val="21"/>
                <w:lang w:val="en-US" w:eastAsia="zh-CN"/>
              </w:rPr>
              <w:instrText xml:space="preserve"> = 1 \* GB3 \* MERGEFORMAT </w:instrText>
            </w:r>
            <w:r>
              <w:rPr>
                <w:rFonts w:hint="default" w:ascii="Times New Roman"/>
                <w:snapToGrid w:val="0"/>
                <w:color w:val="auto"/>
                <w:spacing w:val="-6"/>
                <w:kern w:val="21"/>
                <w:szCs w:val="21"/>
                <w:lang w:val="en-US" w:eastAsia="zh-CN"/>
              </w:rPr>
              <w:fldChar w:fldCharType="separate"/>
            </w:r>
            <w:r>
              <w:rPr>
                <w:rFonts w:hint="default" w:ascii="Times New Roman"/>
                <w:color w:val="auto"/>
                <w:kern w:val="2"/>
                <w:szCs w:val="21"/>
                <w:lang w:val="en-US" w:eastAsia="zh-CN"/>
              </w:rPr>
              <w:t>①</w:t>
            </w:r>
            <w:r>
              <w:rPr>
                <w:rFonts w:hint="default" w:ascii="Times New Roman"/>
                <w:snapToGrid w:val="0"/>
                <w:color w:val="auto"/>
                <w:spacing w:val="-6"/>
                <w:kern w:val="21"/>
                <w:szCs w:val="21"/>
                <w:lang w:val="en-US" w:eastAsia="zh-CN"/>
              </w:rPr>
              <w:fldChar w:fldCharType="end"/>
            </w:r>
          </w:p>
        </w:tc>
        <w:tc>
          <w:tcPr>
            <w:tcW w:w="1672" w:type="dxa"/>
            <w:noWrap w:val="0"/>
            <w:tcMar>
              <w:left w:w="28" w:type="dxa"/>
              <w:right w:w="28" w:type="dxa"/>
            </w:tcMar>
            <w:vAlign w:val="center"/>
          </w:tcPr>
          <w:p w14:paraId="48D2FD9F">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现有工程</w:t>
            </w:r>
          </w:p>
          <w:p w14:paraId="06D30DA4">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许可排放量</w:t>
            </w:r>
          </w:p>
          <w:p w14:paraId="1E44D588">
            <w:pPr>
              <w:pStyle w:val="73"/>
              <w:keepNext w:val="0"/>
              <w:keepLines w:val="0"/>
              <w:suppressLineNumbers w:val="0"/>
              <w:spacing w:before="0" w:beforeLines="0" w:beforeAutospacing="0" w:after="0" w:afterLines="0" w:afterAutospacing="0"/>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fldChar w:fldCharType="begin"/>
            </w:r>
            <w:r>
              <w:rPr>
                <w:rFonts w:hint="default" w:ascii="Times New Roman"/>
                <w:snapToGrid w:val="0"/>
                <w:color w:val="auto"/>
                <w:spacing w:val="-6"/>
                <w:kern w:val="21"/>
                <w:szCs w:val="21"/>
                <w:lang w:val="en-US" w:eastAsia="zh-CN"/>
              </w:rPr>
              <w:instrText xml:space="preserve"> = 2 \* GB3 \* MERGEFORMAT </w:instrText>
            </w:r>
            <w:r>
              <w:rPr>
                <w:rFonts w:hint="default" w:ascii="Times New Roman"/>
                <w:snapToGrid w:val="0"/>
                <w:color w:val="auto"/>
                <w:spacing w:val="-6"/>
                <w:kern w:val="21"/>
                <w:szCs w:val="21"/>
                <w:lang w:val="en-US" w:eastAsia="zh-CN"/>
              </w:rPr>
              <w:fldChar w:fldCharType="separate"/>
            </w:r>
            <w:r>
              <w:rPr>
                <w:rFonts w:hint="default" w:ascii="Times New Roman"/>
                <w:snapToGrid w:val="0"/>
                <w:color w:val="auto"/>
                <w:spacing w:val="-6"/>
                <w:kern w:val="21"/>
                <w:szCs w:val="21"/>
                <w:lang w:val="en-US" w:eastAsia="zh-CN"/>
              </w:rPr>
              <w:t>②</w:t>
            </w:r>
            <w:r>
              <w:rPr>
                <w:rFonts w:hint="default" w:ascii="Times New Roman"/>
                <w:snapToGrid w:val="0"/>
                <w:color w:val="auto"/>
                <w:spacing w:val="-6"/>
                <w:kern w:val="21"/>
                <w:szCs w:val="21"/>
                <w:lang w:val="en-US" w:eastAsia="zh-CN"/>
              </w:rPr>
              <w:fldChar w:fldCharType="end"/>
            </w:r>
          </w:p>
        </w:tc>
        <w:tc>
          <w:tcPr>
            <w:tcW w:w="1305" w:type="dxa"/>
            <w:noWrap w:val="0"/>
            <w:tcMar>
              <w:left w:w="28" w:type="dxa"/>
              <w:right w:w="28" w:type="dxa"/>
            </w:tcMar>
            <w:vAlign w:val="center"/>
          </w:tcPr>
          <w:p w14:paraId="1F08FDA4">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在建工程</w:t>
            </w:r>
          </w:p>
          <w:p w14:paraId="6C1AEF74">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排放量</w:t>
            </w:r>
            <w:r>
              <w:rPr>
                <w:rFonts w:hint="default" w:ascii="Times New Roman"/>
                <w:snapToGrid w:val="0"/>
                <w:color w:val="auto"/>
                <w:spacing w:val="-6"/>
                <w:kern w:val="21"/>
                <w:szCs w:val="21"/>
                <w:lang w:val="en-US" w:eastAsia="zh-CN"/>
              </w:rPr>
              <w:fldChar w:fldCharType="begin"/>
            </w:r>
            <w:r>
              <w:rPr>
                <w:rFonts w:hint="default" w:ascii="Times New Roman"/>
                <w:snapToGrid w:val="0"/>
                <w:color w:val="auto"/>
                <w:spacing w:val="-6"/>
                <w:kern w:val="21"/>
                <w:szCs w:val="21"/>
                <w:lang w:val="en-US" w:eastAsia="zh-CN"/>
              </w:rPr>
              <w:instrText xml:space="preserve"> = 3 \* GB3 \* MERGEFORMAT </w:instrText>
            </w:r>
            <w:r>
              <w:rPr>
                <w:rFonts w:hint="default" w:ascii="Times New Roman"/>
                <w:snapToGrid w:val="0"/>
                <w:color w:val="auto"/>
                <w:spacing w:val="-6"/>
                <w:kern w:val="21"/>
                <w:szCs w:val="21"/>
                <w:lang w:val="en-US" w:eastAsia="zh-CN"/>
              </w:rPr>
              <w:fldChar w:fldCharType="separate"/>
            </w:r>
            <w:r>
              <w:rPr>
                <w:rFonts w:hint="default" w:ascii="Times New Roman"/>
                <w:color w:val="auto"/>
                <w:kern w:val="2"/>
                <w:szCs w:val="21"/>
                <w:lang w:val="en-US" w:eastAsia="zh-CN"/>
              </w:rPr>
              <w:t>③</w:t>
            </w:r>
            <w:r>
              <w:rPr>
                <w:rFonts w:hint="default" w:ascii="Times New Roman"/>
                <w:snapToGrid w:val="0"/>
                <w:color w:val="auto"/>
                <w:spacing w:val="-6"/>
                <w:kern w:val="21"/>
                <w:szCs w:val="21"/>
                <w:lang w:val="en-US" w:eastAsia="zh-CN"/>
              </w:rPr>
              <w:fldChar w:fldCharType="end"/>
            </w:r>
          </w:p>
        </w:tc>
        <w:tc>
          <w:tcPr>
            <w:tcW w:w="1559" w:type="dxa"/>
            <w:noWrap w:val="0"/>
            <w:tcMar>
              <w:left w:w="28" w:type="dxa"/>
              <w:right w:w="28" w:type="dxa"/>
            </w:tcMar>
            <w:vAlign w:val="center"/>
          </w:tcPr>
          <w:p w14:paraId="48A9F20D">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本项目</w:t>
            </w:r>
          </w:p>
          <w:p w14:paraId="1B975CC9">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排放量</w:t>
            </w:r>
            <w:r>
              <w:rPr>
                <w:rFonts w:hint="default" w:ascii="Times New Roman"/>
                <w:snapToGrid w:val="0"/>
                <w:color w:val="auto"/>
                <w:spacing w:val="-6"/>
                <w:kern w:val="21"/>
                <w:szCs w:val="21"/>
                <w:lang w:val="en-US" w:eastAsia="zh-CN"/>
              </w:rPr>
              <w:fldChar w:fldCharType="begin"/>
            </w:r>
            <w:r>
              <w:rPr>
                <w:rFonts w:hint="default" w:ascii="Times New Roman"/>
                <w:snapToGrid w:val="0"/>
                <w:color w:val="auto"/>
                <w:spacing w:val="-6"/>
                <w:kern w:val="21"/>
                <w:szCs w:val="21"/>
                <w:lang w:val="en-US" w:eastAsia="zh-CN"/>
              </w:rPr>
              <w:instrText xml:space="preserve"> = 4 \* GB3 \* MERGEFORMAT </w:instrText>
            </w:r>
            <w:r>
              <w:rPr>
                <w:rFonts w:hint="default" w:ascii="Times New Roman"/>
                <w:snapToGrid w:val="0"/>
                <w:color w:val="auto"/>
                <w:spacing w:val="-6"/>
                <w:kern w:val="21"/>
                <w:szCs w:val="21"/>
                <w:lang w:val="en-US" w:eastAsia="zh-CN"/>
              </w:rPr>
              <w:fldChar w:fldCharType="separate"/>
            </w:r>
            <w:r>
              <w:rPr>
                <w:rFonts w:hint="default" w:ascii="Times New Roman"/>
                <w:color w:val="auto"/>
                <w:kern w:val="2"/>
                <w:szCs w:val="21"/>
                <w:lang w:val="en-US" w:eastAsia="zh-CN"/>
              </w:rPr>
              <w:t>④</w:t>
            </w:r>
            <w:r>
              <w:rPr>
                <w:rFonts w:hint="default" w:ascii="Times New Roman"/>
                <w:snapToGrid w:val="0"/>
                <w:color w:val="auto"/>
                <w:spacing w:val="-6"/>
                <w:kern w:val="21"/>
                <w:szCs w:val="21"/>
                <w:lang w:val="en-US" w:eastAsia="zh-CN"/>
              </w:rPr>
              <w:fldChar w:fldCharType="end"/>
            </w:r>
          </w:p>
        </w:tc>
        <w:tc>
          <w:tcPr>
            <w:tcW w:w="1761" w:type="dxa"/>
            <w:noWrap w:val="0"/>
            <w:tcMar>
              <w:left w:w="28" w:type="dxa"/>
              <w:right w:w="28" w:type="dxa"/>
            </w:tcMar>
            <w:vAlign w:val="center"/>
          </w:tcPr>
          <w:p w14:paraId="1EDD5BB3">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16"/>
                <w:kern w:val="21"/>
                <w:szCs w:val="21"/>
                <w:lang w:val="en-US" w:eastAsia="zh-CN"/>
              </w:rPr>
            </w:pPr>
            <w:r>
              <w:rPr>
                <w:rFonts w:hint="default" w:ascii="Times New Roman"/>
                <w:snapToGrid w:val="0"/>
                <w:color w:val="auto"/>
                <w:spacing w:val="-16"/>
                <w:kern w:val="21"/>
                <w:szCs w:val="21"/>
                <w:lang w:val="en-US" w:eastAsia="zh-CN"/>
              </w:rPr>
              <w:t>以新带老削减量</w:t>
            </w:r>
          </w:p>
          <w:p w14:paraId="0D3F796E">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16"/>
                <w:kern w:val="21"/>
                <w:szCs w:val="21"/>
                <w:lang w:val="en-US" w:eastAsia="zh-CN"/>
              </w:rPr>
            </w:pPr>
            <w:r>
              <w:rPr>
                <w:rFonts w:hint="default" w:ascii="Times New Roman"/>
                <w:snapToGrid w:val="0"/>
                <w:color w:val="auto"/>
                <w:spacing w:val="-16"/>
                <w:kern w:val="21"/>
                <w:szCs w:val="21"/>
                <w:lang w:val="en-US" w:eastAsia="zh-CN"/>
              </w:rPr>
              <w:t>（新建项目不填）</w:t>
            </w:r>
            <w:r>
              <w:rPr>
                <w:rFonts w:hint="default" w:ascii="Times New Roman"/>
                <w:snapToGrid w:val="0"/>
                <w:color w:val="auto"/>
                <w:spacing w:val="-16"/>
                <w:kern w:val="21"/>
                <w:szCs w:val="21"/>
                <w:lang w:val="en-US" w:eastAsia="zh-CN"/>
              </w:rPr>
              <w:fldChar w:fldCharType="begin"/>
            </w:r>
            <w:r>
              <w:rPr>
                <w:rFonts w:hint="default" w:ascii="Times New Roman"/>
                <w:snapToGrid w:val="0"/>
                <w:color w:val="auto"/>
                <w:spacing w:val="-16"/>
                <w:kern w:val="21"/>
                <w:szCs w:val="21"/>
                <w:lang w:val="en-US" w:eastAsia="zh-CN"/>
              </w:rPr>
              <w:instrText xml:space="preserve"> = 5 \* GB3 \* MERGEFORMAT </w:instrText>
            </w:r>
            <w:r>
              <w:rPr>
                <w:rFonts w:hint="default" w:ascii="Times New Roman"/>
                <w:snapToGrid w:val="0"/>
                <w:color w:val="auto"/>
                <w:spacing w:val="-16"/>
                <w:kern w:val="21"/>
                <w:szCs w:val="21"/>
                <w:lang w:val="en-US" w:eastAsia="zh-CN"/>
              </w:rPr>
              <w:fldChar w:fldCharType="separate"/>
            </w:r>
            <w:r>
              <w:rPr>
                <w:rFonts w:hint="default" w:ascii="Times New Roman"/>
                <w:color w:val="auto"/>
                <w:kern w:val="2"/>
                <w:szCs w:val="21"/>
                <w:lang w:val="en-US" w:eastAsia="zh-CN"/>
              </w:rPr>
              <w:t>⑤</w:t>
            </w:r>
            <w:r>
              <w:rPr>
                <w:rFonts w:hint="default" w:ascii="Times New Roman"/>
                <w:snapToGrid w:val="0"/>
                <w:color w:val="auto"/>
                <w:spacing w:val="-16"/>
                <w:kern w:val="21"/>
                <w:szCs w:val="21"/>
                <w:lang w:val="en-US" w:eastAsia="zh-CN"/>
              </w:rPr>
              <w:fldChar w:fldCharType="end"/>
            </w:r>
          </w:p>
        </w:tc>
        <w:tc>
          <w:tcPr>
            <w:tcW w:w="1552" w:type="dxa"/>
            <w:noWrap w:val="0"/>
            <w:tcMar>
              <w:left w:w="28" w:type="dxa"/>
              <w:right w:w="28" w:type="dxa"/>
            </w:tcMar>
            <w:vAlign w:val="center"/>
          </w:tcPr>
          <w:p w14:paraId="11F71ADF">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16"/>
                <w:kern w:val="21"/>
                <w:szCs w:val="21"/>
                <w:lang w:val="en-US" w:eastAsia="zh-CN"/>
              </w:rPr>
            </w:pPr>
            <w:r>
              <w:rPr>
                <w:rFonts w:hint="default" w:ascii="Times New Roman"/>
                <w:snapToGrid w:val="0"/>
                <w:color w:val="auto"/>
                <w:spacing w:val="-16"/>
                <w:kern w:val="21"/>
                <w:szCs w:val="21"/>
                <w:lang w:val="en-US" w:eastAsia="zh-CN"/>
              </w:rPr>
              <w:t>本项目建成后</w:t>
            </w:r>
          </w:p>
          <w:p w14:paraId="4FA115D6">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16"/>
                <w:kern w:val="21"/>
                <w:szCs w:val="21"/>
                <w:lang w:val="en-US" w:eastAsia="zh-CN"/>
              </w:rPr>
            </w:pPr>
            <w:r>
              <w:rPr>
                <w:rFonts w:hint="default" w:ascii="Times New Roman"/>
                <w:snapToGrid w:val="0"/>
                <w:color w:val="auto"/>
                <w:spacing w:val="-16"/>
                <w:kern w:val="21"/>
                <w:szCs w:val="21"/>
                <w:lang w:val="en-US" w:eastAsia="zh-CN"/>
              </w:rPr>
              <w:t>全厂排放量</w:t>
            </w:r>
            <w:r>
              <w:rPr>
                <w:rFonts w:hint="default" w:ascii="Times New Roman"/>
                <w:snapToGrid w:val="0"/>
                <w:color w:val="auto"/>
                <w:spacing w:val="-16"/>
                <w:kern w:val="21"/>
                <w:szCs w:val="21"/>
                <w:lang w:val="en-US" w:eastAsia="zh-CN"/>
              </w:rPr>
              <w:fldChar w:fldCharType="begin"/>
            </w:r>
            <w:r>
              <w:rPr>
                <w:rFonts w:hint="default" w:ascii="Times New Roman"/>
                <w:snapToGrid w:val="0"/>
                <w:color w:val="auto"/>
                <w:spacing w:val="-16"/>
                <w:kern w:val="21"/>
                <w:szCs w:val="21"/>
                <w:lang w:val="en-US" w:eastAsia="zh-CN"/>
              </w:rPr>
              <w:instrText xml:space="preserve"> = 6 \* GB3 \* MERGEFORMAT </w:instrText>
            </w:r>
            <w:r>
              <w:rPr>
                <w:rFonts w:hint="default" w:ascii="Times New Roman"/>
                <w:snapToGrid w:val="0"/>
                <w:color w:val="auto"/>
                <w:spacing w:val="-16"/>
                <w:kern w:val="21"/>
                <w:szCs w:val="21"/>
                <w:lang w:val="en-US" w:eastAsia="zh-CN"/>
              </w:rPr>
              <w:fldChar w:fldCharType="separate"/>
            </w:r>
            <w:r>
              <w:rPr>
                <w:rFonts w:hint="default" w:ascii="Times New Roman"/>
                <w:color w:val="auto"/>
                <w:kern w:val="2"/>
                <w:szCs w:val="21"/>
                <w:lang w:val="en-US" w:eastAsia="zh-CN"/>
              </w:rPr>
              <w:t>⑥</w:t>
            </w:r>
            <w:r>
              <w:rPr>
                <w:rFonts w:hint="default" w:ascii="Times New Roman"/>
                <w:snapToGrid w:val="0"/>
                <w:color w:val="auto"/>
                <w:spacing w:val="-16"/>
                <w:kern w:val="21"/>
                <w:szCs w:val="21"/>
                <w:lang w:val="en-US" w:eastAsia="zh-CN"/>
              </w:rPr>
              <w:fldChar w:fldCharType="end"/>
            </w:r>
          </w:p>
        </w:tc>
        <w:tc>
          <w:tcPr>
            <w:tcW w:w="1233" w:type="dxa"/>
            <w:noWrap w:val="0"/>
            <w:tcMar>
              <w:left w:w="28" w:type="dxa"/>
              <w:right w:w="28" w:type="dxa"/>
            </w:tcMar>
            <w:vAlign w:val="center"/>
          </w:tcPr>
          <w:p w14:paraId="2E3FC929">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t>变化量</w:t>
            </w:r>
          </w:p>
          <w:p w14:paraId="14854C7E">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spacing w:val="-6"/>
                <w:kern w:val="21"/>
                <w:szCs w:val="21"/>
                <w:lang w:val="en-US" w:eastAsia="zh-CN"/>
              </w:rPr>
            </w:pPr>
            <w:r>
              <w:rPr>
                <w:rFonts w:hint="default" w:ascii="Times New Roman"/>
                <w:snapToGrid w:val="0"/>
                <w:color w:val="auto"/>
                <w:spacing w:val="-6"/>
                <w:kern w:val="21"/>
                <w:szCs w:val="21"/>
                <w:lang w:val="en-US" w:eastAsia="zh-CN"/>
              </w:rPr>
              <w:fldChar w:fldCharType="begin"/>
            </w:r>
            <w:r>
              <w:rPr>
                <w:rFonts w:hint="default" w:ascii="Times New Roman"/>
                <w:snapToGrid w:val="0"/>
                <w:color w:val="auto"/>
                <w:spacing w:val="-6"/>
                <w:kern w:val="21"/>
                <w:szCs w:val="21"/>
                <w:lang w:val="en-US" w:eastAsia="zh-CN"/>
              </w:rPr>
              <w:instrText xml:space="preserve"> = 7 \* GB3 \* MERGEFORMAT </w:instrText>
            </w:r>
            <w:r>
              <w:rPr>
                <w:rFonts w:hint="default" w:ascii="Times New Roman"/>
                <w:snapToGrid w:val="0"/>
                <w:color w:val="auto"/>
                <w:spacing w:val="-6"/>
                <w:kern w:val="21"/>
                <w:szCs w:val="21"/>
                <w:lang w:val="en-US" w:eastAsia="zh-CN"/>
              </w:rPr>
              <w:fldChar w:fldCharType="separate"/>
            </w:r>
            <w:r>
              <w:rPr>
                <w:rFonts w:hint="default" w:ascii="Times New Roman"/>
                <w:color w:val="auto"/>
                <w:kern w:val="2"/>
                <w:szCs w:val="21"/>
                <w:lang w:val="en-US" w:eastAsia="zh-CN"/>
              </w:rPr>
              <w:t>⑦</w:t>
            </w:r>
            <w:r>
              <w:rPr>
                <w:rFonts w:hint="default" w:ascii="Times New Roman"/>
                <w:snapToGrid w:val="0"/>
                <w:color w:val="auto"/>
                <w:spacing w:val="-6"/>
                <w:kern w:val="21"/>
                <w:szCs w:val="21"/>
                <w:lang w:val="en-US" w:eastAsia="zh-CN"/>
              </w:rPr>
              <w:fldChar w:fldCharType="end"/>
            </w:r>
          </w:p>
        </w:tc>
      </w:tr>
      <w:tr w14:paraId="3C81DD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14:paraId="0A069169">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kern w:val="21"/>
                <w:szCs w:val="21"/>
                <w:lang w:val="en-US" w:eastAsia="zh-CN"/>
              </w:rPr>
            </w:pPr>
            <w:r>
              <w:rPr>
                <w:rFonts w:hint="eastAsia" w:ascii="Times New Roman"/>
                <w:snapToGrid w:val="0"/>
                <w:color w:val="auto"/>
                <w:kern w:val="21"/>
                <w:szCs w:val="21"/>
                <w:lang w:val="en-US" w:eastAsia="zh-CN"/>
              </w:rPr>
              <w:t>废气</w:t>
            </w:r>
          </w:p>
        </w:tc>
        <w:tc>
          <w:tcPr>
            <w:tcW w:w="1498" w:type="dxa"/>
            <w:noWrap w:val="0"/>
            <w:vAlign w:val="center"/>
          </w:tcPr>
          <w:p w14:paraId="56A10A11">
            <w:pPr>
              <w:keepNext w:val="0"/>
              <w:keepLines w:val="0"/>
              <w:suppressLineNumbers w:val="0"/>
              <w:spacing w:before="0" w:beforeAutospacing="0" w:after="0" w:afterAutospacing="0"/>
              <w:ind w:left="432" w:leftChars="0" w:right="0" w:hanging="432" w:firstLineChars="0"/>
              <w:jc w:val="center"/>
              <w:outlineLvl w:val="9"/>
              <w:rPr>
                <w:rFonts w:hint="default" w:ascii="Times New Roman"/>
                <w:bCs/>
                <w:color w:val="auto"/>
                <w:szCs w:val="21"/>
                <w:lang w:val="en-US" w:eastAsia="zh-CN"/>
              </w:rPr>
            </w:pPr>
            <w:bookmarkStart w:id="120" w:name="_Toc27721"/>
            <w:r>
              <w:rPr>
                <w:rFonts w:hint="eastAsia" w:cs="Times New Roman" w:eastAsiaTheme="minorEastAsia"/>
                <w:b w:val="0"/>
                <w:bCs w:val="0"/>
                <w:color w:val="auto"/>
                <w:spacing w:val="-2"/>
                <w:kern w:val="2"/>
                <w:sz w:val="21"/>
                <w:szCs w:val="21"/>
                <w:lang w:val="en-US" w:eastAsia="zh-CN" w:bidi="ar-SA"/>
              </w:rPr>
              <w:t>装卸料粉尘</w:t>
            </w:r>
            <w:bookmarkEnd w:id="120"/>
          </w:p>
        </w:tc>
        <w:tc>
          <w:tcPr>
            <w:tcW w:w="1620" w:type="dxa"/>
            <w:noWrap w:val="0"/>
            <w:vAlign w:val="center"/>
          </w:tcPr>
          <w:p w14:paraId="142699D7">
            <w:pPr>
              <w:keepNext w:val="0"/>
              <w:keepLines w:val="0"/>
              <w:suppressLineNumbers w:val="0"/>
              <w:spacing w:before="0" w:beforeLines="0" w:beforeAutospacing="0" w:after="0" w:afterLines="0" w:afterAutospacing="0" w:line="240" w:lineRule="auto"/>
              <w:ind w:left="420" w:leftChars="0" w:right="0" w:rightChars="0" w:hanging="420" w:hangingChars="200"/>
              <w:jc w:val="center"/>
              <w:outlineLvl w:val="9"/>
              <w:rPr>
                <w:rFonts w:hint="eastAsia" w:ascii="Times New Roman"/>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672" w:type="dxa"/>
            <w:noWrap w:val="0"/>
            <w:vAlign w:val="center"/>
          </w:tcPr>
          <w:p w14:paraId="185D9C79">
            <w:pPr>
              <w:pStyle w:val="73"/>
              <w:keepNext w:val="0"/>
              <w:keepLines w:val="0"/>
              <w:suppressLineNumbers w:val="0"/>
              <w:spacing w:before="0" w:beforeLines="0" w:beforeAutospacing="0" w:after="0" w:afterLines="0" w:afterAutospacing="0" w:line="240" w:lineRule="auto"/>
              <w:ind w:left="420" w:leftChars="0" w:right="0" w:rightChars="0" w:hanging="420" w:hangingChars="200"/>
              <w:jc w:val="center"/>
              <w:outlineLvl w:val="9"/>
              <w:rPr>
                <w:rFonts w:hint="eastAsia" w:ascii="Times New Roman"/>
                <w:snapToGrid w:val="0"/>
                <w:color w:val="auto"/>
                <w:kern w:val="21"/>
                <w:szCs w:val="21"/>
                <w:lang w:val="en-US" w:eastAsia="zh-CN"/>
              </w:rPr>
            </w:pPr>
            <w:r>
              <w:rPr>
                <w:rFonts w:hint="eastAsia" w:ascii="Times New Roman"/>
                <w:snapToGrid w:val="0"/>
                <w:color w:val="auto"/>
                <w:kern w:val="21"/>
                <w:szCs w:val="21"/>
                <w:lang w:val="en-US" w:eastAsia="zh-CN"/>
              </w:rPr>
              <w:t>/</w:t>
            </w:r>
          </w:p>
        </w:tc>
        <w:tc>
          <w:tcPr>
            <w:tcW w:w="1305" w:type="dxa"/>
            <w:noWrap w:val="0"/>
            <w:vAlign w:val="center"/>
          </w:tcPr>
          <w:p w14:paraId="29F1D393">
            <w:pPr>
              <w:keepNext w:val="0"/>
              <w:keepLines w:val="0"/>
              <w:suppressLineNumbers w:val="0"/>
              <w:spacing w:before="0" w:beforeLines="0" w:beforeAutospacing="0" w:after="0" w:afterLines="0" w:afterAutospacing="0" w:line="240" w:lineRule="auto"/>
              <w:ind w:left="420" w:leftChars="0" w:right="0" w:rightChars="0" w:hanging="420" w:hangingChars="200"/>
              <w:jc w:val="center"/>
              <w:outlineLvl w:val="9"/>
              <w:rPr>
                <w:rFonts w:hint="eastAsia" w:ascii="Times New Roman"/>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559" w:type="dxa"/>
            <w:noWrap w:val="0"/>
            <w:vAlign w:val="center"/>
          </w:tcPr>
          <w:p w14:paraId="0449BDC7">
            <w:pPr>
              <w:keepNext w:val="0"/>
              <w:keepLines w:val="0"/>
              <w:suppressLineNumbers w:val="0"/>
              <w:spacing w:before="0" w:beforeAutospacing="0" w:after="0" w:afterAutospacing="0"/>
              <w:ind w:left="432" w:leftChars="0" w:right="0" w:hanging="432" w:firstLineChars="0"/>
              <w:jc w:val="center"/>
              <w:outlineLvl w:val="9"/>
              <w:rPr>
                <w:rFonts w:hint="eastAsia" w:ascii="Times New Roman" w:hAnsi="Times New Roman"/>
                <w:snapToGrid w:val="0"/>
                <w:color w:val="auto"/>
                <w:kern w:val="21"/>
                <w:szCs w:val="21"/>
                <w:lang w:val="en-US" w:eastAsia="zh-CN"/>
              </w:rPr>
            </w:pPr>
            <w:bookmarkStart w:id="121" w:name="_Toc11765"/>
            <w:bookmarkStart w:id="122" w:name="_Toc23618"/>
            <w:bookmarkStart w:id="123" w:name="_Toc1670"/>
            <w:bookmarkStart w:id="124" w:name="_Toc788"/>
            <w:bookmarkStart w:id="125" w:name="_Toc4150"/>
            <w:bookmarkStart w:id="126" w:name="_Toc6899"/>
            <w:bookmarkStart w:id="127" w:name="_Toc14989"/>
            <w:r>
              <w:rPr>
                <w:rFonts w:hint="eastAsia" w:ascii="Times New Roman" w:hAnsi="Times New Roman" w:cs="Times New Roman" w:eastAsiaTheme="minorEastAsia"/>
                <w:b w:val="0"/>
                <w:bCs w:val="0"/>
                <w:color w:val="auto"/>
                <w:spacing w:val="-2"/>
                <w:kern w:val="2"/>
                <w:sz w:val="21"/>
                <w:szCs w:val="21"/>
                <w:lang w:val="en-US" w:eastAsia="zh-CN" w:bidi="ar-SA"/>
              </w:rPr>
              <w:t>4.5216t/a</w:t>
            </w:r>
            <w:bookmarkEnd w:id="121"/>
            <w:bookmarkEnd w:id="122"/>
            <w:bookmarkEnd w:id="123"/>
            <w:bookmarkEnd w:id="124"/>
            <w:bookmarkEnd w:id="125"/>
            <w:bookmarkEnd w:id="126"/>
            <w:bookmarkEnd w:id="127"/>
          </w:p>
        </w:tc>
        <w:tc>
          <w:tcPr>
            <w:tcW w:w="1761" w:type="dxa"/>
            <w:noWrap w:val="0"/>
            <w:vAlign w:val="center"/>
          </w:tcPr>
          <w:p w14:paraId="074FB00F">
            <w:pPr>
              <w:keepNext w:val="0"/>
              <w:keepLines w:val="0"/>
              <w:suppressLineNumbers w:val="0"/>
              <w:spacing w:before="0" w:beforeLines="0" w:beforeAutospacing="0" w:after="0" w:afterLines="0" w:afterAutospacing="0" w:line="240" w:lineRule="auto"/>
              <w:ind w:left="420" w:leftChars="0" w:right="0" w:rightChars="0" w:hanging="420" w:hangingChars="200"/>
              <w:jc w:val="center"/>
              <w:outlineLvl w:val="9"/>
              <w:rPr>
                <w:rFonts w:hint="eastAsia" w:ascii="Times New Roman"/>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552" w:type="dxa"/>
            <w:noWrap w:val="0"/>
            <w:vAlign w:val="center"/>
          </w:tcPr>
          <w:p w14:paraId="24F1650B">
            <w:pPr>
              <w:keepNext w:val="0"/>
              <w:keepLines w:val="0"/>
              <w:suppressLineNumbers w:val="0"/>
              <w:spacing w:before="0" w:beforeAutospacing="0" w:after="0" w:afterAutospacing="0"/>
              <w:ind w:left="432" w:leftChars="0" w:right="0" w:rightChars="0" w:hanging="432" w:firstLineChars="0"/>
              <w:jc w:val="center"/>
              <w:outlineLvl w:val="9"/>
              <w:rPr>
                <w:rFonts w:hint="eastAsia" w:ascii="Times New Roman" w:hAnsi="Times New Roman"/>
                <w:snapToGrid w:val="0"/>
                <w:color w:val="auto"/>
                <w:kern w:val="21"/>
                <w:szCs w:val="21"/>
                <w:lang w:val="en-US" w:eastAsia="zh-CN"/>
              </w:rPr>
            </w:pPr>
            <w:bookmarkStart w:id="128" w:name="_Toc28070"/>
            <w:bookmarkStart w:id="129" w:name="_Toc12326"/>
            <w:bookmarkStart w:id="130" w:name="_Toc10510"/>
            <w:r>
              <w:rPr>
                <w:rFonts w:hint="eastAsia" w:ascii="Times New Roman" w:hAnsi="Times New Roman" w:cs="Times New Roman" w:eastAsiaTheme="minorEastAsia"/>
                <w:b w:val="0"/>
                <w:bCs w:val="0"/>
                <w:color w:val="auto"/>
                <w:spacing w:val="-2"/>
                <w:kern w:val="2"/>
                <w:sz w:val="21"/>
                <w:szCs w:val="21"/>
                <w:lang w:val="en-US" w:eastAsia="zh-CN" w:bidi="ar-SA"/>
              </w:rPr>
              <w:t>4.5216t/a</w:t>
            </w:r>
            <w:bookmarkEnd w:id="128"/>
            <w:bookmarkEnd w:id="129"/>
            <w:bookmarkEnd w:id="130"/>
          </w:p>
        </w:tc>
        <w:tc>
          <w:tcPr>
            <w:tcW w:w="1233" w:type="dxa"/>
            <w:noWrap w:val="0"/>
            <w:vAlign w:val="center"/>
          </w:tcPr>
          <w:p w14:paraId="4BF4908D">
            <w:pPr>
              <w:keepNext w:val="0"/>
              <w:keepLines w:val="0"/>
              <w:suppressLineNumbers w:val="0"/>
              <w:spacing w:before="0" w:beforeAutospacing="0" w:after="0" w:afterAutospacing="0"/>
              <w:ind w:left="432" w:leftChars="0" w:right="0" w:rightChars="0" w:hanging="432" w:firstLineChars="0"/>
              <w:jc w:val="center"/>
              <w:outlineLvl w:val="9"/>
              <w:rPr>
                <w:rFonts w:hint="eastAsia" w:ascii="Times New Roman"/>
                <w:snapToGrid w:val="0"/>
                <w:color w:val="auto"/>
                <w:kern w:val="21"/>
                <w:szCs w:val="21"/>
                <w:lang w:val="en-US" w:eastAsia="zh-CN"/>
              </w:rPr>
            </w:pPr>
            <w:r>
              <w:rPr>
                <w:rFonts w:hint="eastAsia" w:ascii="Times New Roman" w:hAnsi="Times New Roman" w:cs="Times New Roman"/>
                <w:b w:val="0"/>
                <w:bCs w:val="0"/>
                <w:color w:val="auto"/>
                <w:spacing w:val="-2"/>
                <w:kern w:val="2"/>
                <w:sz w:val="21"/>
                <w:szCs w:val="21"/>
                <w:lang w:val="en-US" w:eastAsia="zh-CN" w:bidi="ar-SA"/>
              </w:rPr>
              <w:t>+</w:t>
            </w:r>
            <w:r>
              <w:rPr>
                <w:rFonts w:hint="eastAsia" w:ascii="Times New Roman" w:hAnsi="Times New Roman" w:cs="Times New Roman" w:eastAsiaTheme="minorEastAsia"/>
                <w:b w:val="0"/>
                <w:bCs w:val="0"/>
                <w:color w:val="auto"/>
                <w:spacing w:val="-2"/>
                <w:kern w:val="2"/>
                <w:sz w:val="21"/>
                <w:szCs w:val="21"/>
                <w:lang w:val="en-US" w:eastAsia="zh-CN" w:bidi="ar-SA"/>
              </w:rPr>
              <w:t>4.5216t/a</w:t>
            </w:r>
          </w:p>
        </w:tc>
      </w:tr>
      <w:tr w14:paraId="45B00D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3582296C">
            <w:pPr>
              <w:pStyle w:val="73"/>
              <w:keepNext w:val="0"/>
              <w:keepLines w:val="0"/>
              <w:suppressLineNumbers w:val="0"/>
              <w:spacing w:before="0" w:beforeLines="0" w:beforeAutospacing="0" w:after="0" w:afterLines="0" w:afterAutospacing="0" w:line="240" w:lineRule="auto"/>
              <w:ind w:right="0"/>
              <w:outlineLvl w:val="9"/>
              <w:rPr>
                <w:rFonts w:hint="eastAsia" w:ascii="Times New Roman"/>
                <w:snapToGrid w:val="0"/>
                <w:color w:val="auto"/>
                <w:kern w:val="21"/>
                <w:szCs w:val="21"/>
                <w:lang w:val="en-US" w:eastAsia="zh-CN"/>
              </w:rPr>
            </w:pPr>
          </w:p>
        </w:tc>
        <w:tc>
          <w:tcPr>
            <w:tcW w:w="1498" w:type="dxa"/>
            <w:noWrap w:val="0"/>
            <w:vAlign w:val="center"/>
          </w:tcPr>
          <w:p w14:paraId="19207C78">
            <w:pPr>
              <w:keepNext w:val="0"/>
              <w:keepLines w:val="0"/>
              <w:suppressLineNumbers w:val="0"/>
              <w:spacing w:before="0" w:beforeAutospacing="0" w:after="0" w:afterAutospacing="0"/>
              <w:ind w:left="432" w:leftChars="0" w:right="0" w:hanging="432" w:firstLineChars="0"/>
              <w:jc w:val="center"/>
              <w:outlineLvl w:val="9"/>
              <w:rPr>
                <w:rFonts w:hint="default" w:cs="Times New Roman" w:asciiTheme="minorHAnsi" w:hAnsiTheme="minorHAnsi" w:eastAsiaTheme="minorEastAsia"/>
                <w:b w:val="0"/>
                <w:bCs w:val="0"/>
                <w:color w:val="auto"/>
                <w:spacing w:val="-2"/>
                <w:kern w:val="2"/>
                <w:sz w:val="21"/>
                <w:szCs w:val="21"/>
                <w:lang w:val="en-US" w:eastAsia="zh-CN" w:bidi="ar-SA"/>
              </w:rPr>
            </w:pPr>
            <w:bookmarkStart w:id="131" w:name="_Toc7259"/>
            <w:r>
              <w:rPr>
                <w:rFonts w:hint="eastAsia" w:cs="Times New Roman" w:eastAsiaTheme="minorEastAsia"/>
                <w:b w:val="0"/>
                <w:bCs w:val="0"/>
                <w:color w:val="auto"/>
                <w:spacing w:val="-2"/>
                <w:kern w:val="2"/>
                <w:sz w:val="21"/>
                <w:szCs w:val="21"/>
                <w:lang w:val="en-US" w:eastAsia="zh-CN" w:bidi="ar-SA"/>
              </w:rPr>
              <w:t>堆场扬尘</w:t>
            </w:r>
            <w:bookmarkEnd w:id="131"/>
          </w:p>
        </w:tc>
        <w:tc>
          <w:tcPr>
            <w:tcW w:w="1620" w:type="dxa"/>
            <w:noWrap w:val="0"/>
            <w:vAlign w:val="center"/>
          </w:tcPr>
          <w:p w14:paraId="21A60591">
            <w:pPr>
              <w:keepNext w:val="0"/>
              <w:keepLines w:val="0"/>
              <w:suppressLineNumbers w:val="0"/>
              <w:spacing w:before="0" w:beforeLines="0" w:beforeAutospacing="0" w:after="0" w:afterLines="0" w:afterAutospacing="0" w:line="240" w:lineRule="auto"/>
              <w:ind w:left="420" w:leftChars="0" w:right="0" w:rightChars="0" w:hanging="420" w:hangingChars="200"/>
              <w:jc w:val="center"/>
              <w:outlineLvl w:val="9"/>
              <w:rPr>
                <w:rFonts w:hint="eastAsia" w:ascii="Times New Roman" w:hAnsi="Times New Roman" w:cs="Times New Roman" w:eastAsiaTheme="minorEastAsia"/>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w:t>
            </w:r>
          </w:p>
        </w:tc>
        <w:tc>
          <w:tcPr>
            <w:tcW w:w="1672" w:type="dxa"/>
            <w:noWrap w:val="0"/>
            <w:vAlign w:val="center"/>
          </w:tcPr>
          <w:p w14:paraId="7753A9AE">
            <w:pPr>
              <w:pStyle w:val="73"/>
              <w:keepNext w:val="0"/>
              <w:keepLines w:val="0"/>
              <w:suppressLineNumbers w:val="0"/>
              <w:spacing w:before="0" w:beforeLines="0" w:beforeAutospacing="0" w:after="0" w:afterLines="0" w:afterAutospacing="0" w:line="240" w:lineRule="auto"/>
              <w:ind w:left="420" w:leftChars="0" w:right="0" w:rightChars="0" w:hanging="420" w:hangingChars="200"/>
              <w:jc w:val="center"/>
              <w:outlineLvl w:val="9"/>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1305" w:type="dxa"/>
            <w:noWrap w:val="0"/>
            <w:vAlign w:val="center"/>
          </w:tcPr>
          <w:p w14:paraId="3C7D57DA">
            <w:pPr>
              <w:keepNext w:val="0"/>
              <w:keepLines w:val="0"/>
              <w:suppressLineNumbers w:val="0"/>
              <w:spacing w:before="0" w:beforeLines="0" w:beforeAutospacing="0" w:after="0" w:afterLines="0" w:afterAutospacing="0" w:line="240" w:lineRule="auto"/>
              <w:ind w:left="420" w:leftChars="0" w:right="0" w:rightChars="0" w:hanging="420" w:hangingChars="200"/>
              <w:jc w:val="center"/>
              <w:outlineLvl w:val="9"/>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1559" w:type="dxa"/>
            <w:noWrap w:val="0"/>
            <w:vAlign w:val="center"/>
          </w:tcPr>
          <w:p w14:paraId="47539263">
            <w:pPr>
              <w:keepNext w:val="0"/>
              <w:keepLines w:val="0"/>
              <w:suppressLineNumbers w:val="0"/>
              <w:spacing w:before="0" w:beforeAutospacing="0" w:after="0" w:afterAutospacing="0"/>
              <w:ind w:left="432" w:leftChars="0" w:right="0" w:hanging="432" w:firstLineChars="0"/>
              <w:jc w:val="center"/>
              <w:outlineLvl w:val="9"/>
              <w:rPr>
                <w:rFonts w:hint="default" w:ascii="Times New Roman" w:hAnsi="Times New Roman" w:eastAsia="宋体" w:cs="Times New Roman"/>
                <w:b w:val="0"/>
                <w:bCs w:val="0"/>
                <w:color w:val="auto"/>
                <w:kern w:val="2"/>
                <w:sz w:val="21"/>
                <w:szCs w:val="21"/>
                <w:lang w:val="en-US" w:eastAsia="zh-CN" w:bidi="ar-SA"/>
              </w:rPr>
            </w:pPr>
            <w:bookmarkStart w:id="132" w:name="_Toc12556"/>
            <w:bookmarkStart w:id="133" w:name="_Toc14362"/>
            <w:bookmarkStart w:id="134" w:name="_Toc26160"/>
            <w:r>
              <w:rPr>
                <w:rFonts w:hint="eastAsia" w:ascii="Times New Roman" w:hAnsi="Times New Roman" w:eastAsia="宋体" w:cs="Times New Roman"/>
                <w:b w:val="0"/>
                <w:bCs w:val="0"/>
                <w:color w:val="auto"/>
                <w:kern w:val="2"/>
                <w:sz w:val="21"/>
                <w:szCs w:val="21"/>
                <w:lang w:val="en-US" w:eastAsia="zh-CN" w:bidi="ar-SA"/>
              </w:rPr>
              <w:t>1.577 t/a</w:t>
            </w:r>
            <w:bookmarkEnd w:id="132"/>
            <w:bookmarkEnd w:id="133"/>
            <w:bookmarkEnd w:id="134"/>
          </w:p>
        </w:tc>
        <w:tc>
          <w:tcPr>
            <w:tcW w:w="1761" w:type="dxa"/>
            <w:noWrap w:val="0"/>
            <w:vAlign w:val="center"/>
          </w:tcPr>
          <w:p w14:paraId="3D2664CA">
            <w:pPr>
              <w:keepNext w:val="0"/>
              <w:keepLines w:val="0"/>
              <w:suppressLineNumbers w:val="0"/>
              <w:spacing w:before="0" w:beforeLines="0" w:beforeAutospacing="0" w:after="0" w:afterLines="0" w:afterAutospacing="0" w:line="240" w:lineRule="auto"/>
              <w:ind w:left="420" w:leftChars="0" w:right="0" w:rightChars="0" w:hanging="420" w:hangingChars="200"/>
              <w:jc w:val="center"/>
              <w:outlineLvl w:val="9"/>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w:t>
            </w:r>
          </w:p>
        </w:tc>
        <w:tc>
          <w:tcPr>
            <w:tcW w:w="1552" w:type="dxa"/>
            <w:noWrap w:val="0"/>
            <w:vAlign w:val="center"/>
          </w:tcPr>
          <w:p w14:paraId="78C55BB0">
            <w:pPr>
              <w:keepNext w:val="0"/>
              <w:keepLines w:val="0"/>
              <w:suppressLineNumbers w:val="0"/>
              <w:spacing w:before="0" w:beforeAutospacing="0" w:after="0" w:afterAutospacing="0"/>
              <w:ind w:left="432" w:leftChars="0" w:right="0" w:rightChars="0" w:hanging="432" w:firstLineChars="0"/>
              <w:jc w:val="center"/>
              <w:outlineLvl w:val="9"/>
              <w:rPr>
                <w:rFonts w:hint="eastAsia" w:ascii="Times New Roman" w:hAnsi="Times New Roman" w:eastAsia="宋体" w:cs="Times New Roman"/>
                <w:b w:val="0"/>
                <w:bCs w:val="0"/>
                <w:color w:val="auto"/>
                <w:kern w:val="2"/>
                <w:sz w:val="21"/>
                <w:szCs w:val="21"/>
                <w:lang w:val="en-US" w:eastAsia="zh-CN" w:bidi="ar-SA"/>
              </w:rPr>
            </w:pPr>
            <w:bookmarkStart w:id="135" w:name="_Toc15619"/>
            <w:bookmarkStart w:id="136" w:name="_Toc21156"/>
            <w:bookmarkStart w:id="137" w:name="_Toc7912"/>
            <w:r>
              <w:rPr>
                <w:rFonts w:hint="eastAsia" w:ascii="Times New Roman" w:hAnsi="Times New Roman" w:eastAsia="宋体" w:cs="Times New Roman"/>
                <w:b w:val="0"/>
                <w:bCs w:val="0"/>
                <w:color w:val="auto"/>
                <w:kern w:val="2"/>
                <w:sz w:val="21"/>
                <w:szCs w:val="21"/>
                <w:lang w:val="en-US" w:eastAsia="zh-CN" w:bidi="ar-SA"/>
              </w:rPr>
              <w:t>1.577t/a</w:t>
            </w:r>
            <w:bookmarkEnd w:id="135"/>
            <w:bookmarkEnd w:id="136"/>
            <w:bookmarkEnd w:id="137"/>
          </w:p>
        </w:tc>
        <w:tc>
          <w:tcPr>
            <w:tcW w:w="1233" w:type="dxa"/>
            <w:noWrap w:val="0"/>
            <w:vAlign w:val="center"/>
          </w:tcPr>
          <w:p w14:paraId="06978FFA">
            <w:pPr>
              <w:keepNext w:val="0"/>
              <w:keepLines w:val="0"/>
              <w:suppressLineNumbers w:val="0"/>
              <w:spacing w:before="0" w:beforeAutospacing="0" w:after="0" w:afterAutospacing="0"/>
              <w:ind w:left="432" w:leftChars="0" w:right="0" w:rightChars="0" w:hanging="432" w:firstLineChars="0"/>
              <w:jc w:val="center"/>
              <w:outlineLvl w:val="9"/>
              <w:rPr>
                <w:rFonts w:hint="eastAsia" w:ascii="Times New Roman" w:hAnsi="Times New Roman" w:cs="Times New Roman" w:eastAsiaTheme="minorEastAsia"/>
                <w:snapToGrid w:val="0"/>
                <w:color w:val="auto"/>
                <w:kern w:val="21"/>
                <w:szCs w:val="21"/>
                <w:lang w:val="en-US" w:eastAsia="zh-CN"/>
              </w:rPr>
            </w:pPr>
            <w:r>
              <w:rPr>
                <w:rFonts w:hint="eastAsia" w:ascii="Times New Roman" w:hAnsi="Times New Roman" w:eastAsia="宋体" w:cs="Times New Roman"/>
                <w:b w:val="0"/>
                <w:bCs w:val="0"/>
                <w:color w:val="auto"/>
                <w:kern w:val="2"/>
                <w:sz w:val="21"/>
                <w:szCs w:val="21"/>
                <w:lang w:val="en-US" w:eastAsia="zh-CN" w:bidi="ar-SA"/>
              </w:rPr>
              <w:t>+1.577t/a</w:t>
            </w:r>
          </w:p>
        </w:tc>
      </w:tr>
      <w:tr w14:paraId="661B29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14:paraId="3195EF7C">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kern w:val="21"/>
                <w:szCs w:val="21"/>
                <w:lang w:val="en-US" w:eastAsia="zh-CN"/>
              </w:rPr>
            </w:pPr>
            <w:r>
              <w:rPr>
                <w:rFonts w:hint="default" w:ascii="Times New Roman"/>
                <w:snapToGrid w:val="0"/>
                <w:color w:val="auto"/>
                <w:kern w:val="21"/>
                <w:szCs w:val="21"/>
                <w:highlight w:val="none"/>
                <w:lang w:val="en-US" w:eastAsia="zh-CN"/>
              </w:rPr>
              <w:t>废水</w:t>
            </w:r>
          </w:p>
        </w:tc>
        <w:tc>
          <w:tcPr>
            <w:tcW w:w="1498" w:type="dxa"/>
            <w:noWrap w:val="0"/>
            <w:vAlign w:val="center"/>
          </w:tcPr>
          <w:p w14:paraId="5C25406C">
            <w:pPr>
              <w:keepNext w:val="0"/>
              <w:keepLines w:val="0"/>
              <w:suppressLineNumbers w:val="0"/>
              <w:spacing w:before="0" w:beforeAutospacing="0" w:after="0" w:afterAutospacing="0"/>
              <w:ind w:left="0" w:leftChars="0" w:right="0" w:rightChars="0"/>
              <w:jc w:val="center"/>
              <w:outlineLvl w:val="9"/>
              <w:rPr>
                <w:rFonts w:hint="default" w:cs="Times New Roman"/>
                <w:color w:val="auto"/>
                <w:szCs w:val="21"/>
              </w:rPr>
            </w:pPr>
            <w:r>
              <w:rPr>
                <w:rFonts w:hint="default" w:ascii="Times New Roman" w:hAnsi="Times New Roman" w:cs="Times New Roman"/>
                <w:snapToGrid w:val="0"/>
                <w:color w:val="auto"/>
                <w:kern w:val="21"/>
                <w:szCs w:val="21"/>
              </w:rPr>
              <w:t>/</w:t>
            </w:r>
          </w:p>
        </w:tc>
        <w:tc>
          <w:tcPr>
            <w:tcW w:w="1620" w:type="dxa"/>
            <w:noWrap w:val="0"/>
            <w:vAlign w:val="center"/>
          </w:tcPr>
          <w:p w14:paraId="396EAA04">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672" w:type="dxa"/>
            <w:noWrap w:val="0"/>
            <w:vAlign w:val="center"/>
          </w:tcPr>
          <w:p w14:paraId="05AB9D21">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305" w:type="dxa"/>
            <w:noWrap w:val="0"/>
            <w:vAlign w:val="center"/>
          </w:tcPr>
          <w:p w14:paraId="06F4E85C">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9" w:type="dxa"/>
            <w:noWrap w:val="0"/>
            <w:vAlign w:val="center"/>
          </w:tcPr>
          <w:p w14:paraId="3E5BD8ED">
            <w:pPr>
              <w:keepNext w:val="0"/>
              <w:keepLines w:val="0"/>
              <w:suppressLineNumbers w:val="0"/>
              <w:spacing w:before="0" w:beforeAutospacing="0" w:after="0" w:afterAutospacing="0"/>
              <w:ind w:left="0" w:leftChars="0" w:right="0" w:rightChars="0"/>
              <w:jc w:val="center"/>
              <w:outlineLvl w:val="9"/>
              <w:rPr>
                <w:rFonts w:hint="default" w:eastAsiaTheme="minorEastAsia"/>
                <w:color w:val="auto"/>
                <w:szCs w:val="21"/>
                <w:lang w:val="en-US" w:eastAsia="zh-CN"/>
              </w:rPr>
            </w:pPr>
            <w:r>
              <w:rPr>
                <w:rFonts w:hint="default" w:ascii="Times New Roman" w:hAnsi="Times New Roman" w:cs="Times New Roman"/>
                <w:snapToGrid w:val="0"/>
                <w:color w:val="auto"/>
                <w:kern w:val="21"/>
                <w:szCs w:val="21"/>
              </w:rPr>
              <w:t>/</w:t>
            </w:r>
          </w:p>
        </w:tc>
        <w:tc>
          <w:tcPr>
            <w:tcW w:w="1761" w:type="dxa"/>
            <w:noWrap w:val="0"/>
            <w:vAlign w:val="center"/>
          </w:tcPr>
          <w:p w14:paraId="0C6AD3D3">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2" w:type="dxa"/>
            <w:noWrap w:val="0"/>
            <w:vAlign w:val="center"/>
          </w:tcPr>
          <w:p w14:paraId="1C4DA78D">
            <w:pPr>
              <w:keepNext w:val="0"/>
              <w:keepLines w:val="0"/>
              <w:suppressLineNumbers w:val="0"/>
              <w:spacing w:before="0" w:beforeAutospacing="0" w:after="0" w:afterAutospacing="0"/>
              <w:ind w:left="0" w:leftChars="0" w:right="0" w:rightChars="0"/>
              <w:jc w:val="center"/>
              <w:outlineLvl w:val="9"/>
              <w:rPr>
                <w:rFonts w:hint="default"/>
                <w:color w:val="auto"/>
                <w:szCs w:val="21"/>
              </w:rPr>
            </w:pPr>
            <w:r>
              <w:rPr>
                <w:rFonts w:hint="default" w:ascii="Times New Roman" w:hAnsi="Times New Roman" w:cs="Times New Roman"/>
                <w:snapToGrid w:val="0"/>
                <w:color w:val="auto"/>
                <w:kern w:val="21"/>
                <w:szCs w:val="21"/>
              </w:rPr>
              <w:t>/</w:t>
            </w:r>
          </w:p>
        </w:tc>
        <w:tc>
          <w:tcPr>
            <w:tcW w:w="1233" w:type="dxa"/>
            <w:noWrap w:val="0"/>
            <w:vAlign w:val="center"/>
          </w:tcPr>
          <w:p w14:paraId="5F68A27A">
            <w:pPr>
              <w:keepNext w:val="0"/>
              <w:keepLines w:val="0"/>
              <w:suppressLineNumbers w:val="0"/>
              <w:spacing w:before="0" w:beforeAutospacing="0" w:after="0" w:afterAutospacing="0"/>
              <w:ind w:left="0" w:right="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r>
      <w:tr w14:paraId="2EF53F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22CBD1CD">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kern w:val="21"/>
                <w:szCs w:val="21"/>
                <w:lang w:val="en-US" w:eastAsia="zh-CN"/>
              </w:rPr>
            </w:pPr>
          </w:p>
        </w:tc>
        <w:tc>
          <w:tcPr>
            <w:tcW w:w="1498" w:type="dxa"/>
            <w:noWrap w:val="0"/>
            <w:vAlign w:val="center"/>
          </w:tcPr>
          <w:p w14:paraId="5D8D9E0F">
            <w:pPr>
              <w:keepNext w:val="0"/>
              <w:keepLines w:val="0"/>
              <w:suppressLineNumbers w:val="0"/>
              <w:spacing w:before="0" w:beforeAutospacing="0" w:after="0" w:afterAutospacing="0"/>
              <w:ind w:left="0" w:leftChars="0" w:right="0" w:rightChars="0"/>
              <w:jc w:val="center"/>
              <w:outlineLvl w:val="9"/>
              <w:rPr>
                <w:rFonts w:hint="default" w:cs="Times New Roman"/>
                <w:color w:val="auto"/>
                <w:szCs w:val="21"/>
              </w:rPr>
            </w:pPr>
            <w:r>
              <w:rPr>
                <w:rFonts w:hint="default" w:ascii="Times New Roman" w:hAnsi="Times New Roman" w:cs="Times New Roman"/>
                <w:snapToGrid w:val="0"/>
                <w:color w:val="auto"/>
                <w:kern w:val="21"/>
                <w:szCs w:val="21"/>
              </w:rPr>
              <w:t>/</w:t>
            </w:r>
          </w:p>
        </w:tc>
        <w:tc>
          <w:tcPr>
            <w:tcW w:w="1620" w:type="dxa"/>
            <w:noWrap w:val="0"/>
            <w:vAlign w:val="center"/>
          </w:tcPr>
          <w:p w14:paraId="169404EC">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672" w:type="dxa"/>
            <w:noWrap w:val="0"/>
            <w:vAlign w:val="center"/>
          </w:tcPr>
          <w:p w14:paraId="2FAF015C">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305" w:type="dxa"/>
            <w:noWrap w:val="0"/>
            <w:vAlign w:val="center"/>
          </w:tcPr>
          <w:p w14:paraId="2049D41D">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9" w:type="dxa"/>
            <w:noWrap w:val="0"/>
            <w:vAlign w:val="center"/>
          </w:tcPr>
          <w:p w14:paraId="6B9BE2DC">
            <w:pPr>
              <w:keepNext w:val="0"/>
              <w:keepLines w:val="0"/>
              <w:suppressLineNumbers w:val="0"/>
              <w:spacing w:before="0" w:beforeAutospacing="0" w:after="0" w:afterAutospacing="0"/>
              <w:ind w:left="0" w:leftChars="0" w:right="0" w:rightChars="0"/>
              <w:jc w:val="center"/>
              <w:outlineLvl w:val="9"/>
              <w:rPr>
                <w:rFonts w:hint="default"/>
                <w:color w:val="auto"/>
                <w:szCs w:val="21"/>
              </w:rPr>
            </w:pPr>
            <w:r>
              <w:rPr>
                <w:rFonts w:hint="default" w:ascii="Times New Roman" w:hAnsi="Times New Roman" w:cs="Times New Roman"/>
                <w:snapToGrid w:val="0"/>
                <w:color w:val="auto"/>
                <w:kern w:val="21"/>
                <w:szCs w:val="21"/>
              </w:rPr>
              <w:t>/</w:t>
            </w:r>
          </w:p>
        </w:tc>
        <w:tc>
          <w:tcPr>
            <w:tcW w:w="1761" w:type="dxa"/>
            <w:noWrap w:val="0"/>
            <w:vAlign w:val="center"/>
          </w:tcPr>
          <w:p w14:paraId="35658025">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2" w:type="dxa"/>
            <w:noWrap w:val="0"/>
            <w:vAlign w:val="center"/>
          </w:tcPr>
          <w:p w14:paraId="4E28EB7D">
            <w:pPr>
              <w:keepNext w:val="0"/>
              <w:keepLines w:val="0"/>
              <w:suppressLineNumbers w:val="0"/>
              <w:spacing w:before="0" w:beforeAutospacing="0" w:after="0" w:afterAutospacing="0"/>
              <w:ind w:left="0" w:leftChars="0" w:right="0" w:rightChars="0"/>
              <w:jc w:val="center"/>
              <w:outlineLvl w:val="9"/>
              <w:rPr>
                <w:rFonts w:hint="default"/>
                <w:color w:val="auto"/>
                <w:szCs w:val="21"/>
              </w:rPr>
            </w:pPr>
            <w:r>
              <w:rPr>
                <w:rFonts w:hint="default" w:ascii="Times New Roman" w:hAnsi="Times New Roman" w:cs="Times New Roman"/>
                <w:snapToGrid w:val="0"/>
                <w:color w:val="auto"/>
                <w:kern w:val="21"/>
                <w:szCs w:val="21"/>
              </w:rPr>
              <w:t>/</w:t>
            </w:r>
          </w:p>
        </w:tc>
        <w:tc>
          <w:tcPr>
            <w:tcW w:w="1233" w:type="dxa"/>
            <w:noWrap w:val="0"/>
            <w:vAlign w:val="center"/>
          </w:tcPr>
          <w:p w14:paraId="3C2C8BB7">
            <w:pPr>
              <w:keepNext w:val="0"/>
              <w:keepLines w:val="0"/>
              <w:suppressLineNumbers w:val="0"/>
              <w:spacing w:before="0" w:beforeAutospacing="0" w:after="0" w:afterAutospacing="0"/>
              <w:ind w:left="0" w:right="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r>
      <w:tr w14:paraId="778A1E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41C832D5">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kern w:val="21"/>
                <w:szCs w:val="21"/>
                <w:lang w:val="en-US" w:eastAsia="zh-CN"/>
              </w:rPr>
            </w:pPr>
          </w:p>
        </w:tc>
        <w:tc>
          <w:tcPr>
            <w:tcW w:w="1498" w:type="dxa"/>
            <w:noWrap w:val="0"/>
            <w:vAlign w:val="center"/>
          </w:tcPr>
          <w:p w14:paraId="5089FDD8">
            <w:pPr>
              <w:keepNext w:val="0"/>
              <w:keepLines w:val="0"/>
              <w:suppressLineNumbers w:val="0"/>
              <w:spacing w:before="0" w:beforeAutospacing="0" w:after="0" w:afterAutospacing="0"/>
              <w:ind w:left="0" w:leftChars="0" w:right="0" w:rightChars="0"/>
              <w:jc w:val="center"/>
              <w:outlineLvl w:val="9"/>
              <w:rPr>
                <w:rFonts w:hint="default" w:cs="Times New Roman"/>
                <w:color w:val="auto"/>
                <w:szCs w:val="21"/>
              </w:rPr>
            </w:pPr>
            <w:r>
              <w:rPr>
                <w:rFonts w:hint="default" w:ascii="Times New Roman" w:hAnsi="Times New Roman" w:cs="Times New Roman"/>
                <w:snapToGrid w:val="0"/>
                <w:color w:val="auto"/>
                <w:kern w:val="21"/>
                <w:szCs w:val="21"/>
              </w:rPr>
              <w:t>/</w:t>
            </w:r>
          </w:p>
        </w:tc>
        <w:tc>
          <w:tcPr>
            <w:tcW w:w="1620" w:type="dxa"/>
            <w:noWrap w:val="0"/>
            <w:vAlign w:val="center"/>
          </w:tcPr>
          <w:p w14:paraId="19EEF9C5">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672" w:type="dxa"/>
            <w:noWrap w:val="0"/>
            <w:vAlign w:val="center"/>
          </w:tcPr>
          <w:p w14:paraId="3504E3B3">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305" w:type="dxa"/>
            <w:noWrap w:val="0"/>
            <w:vAlign w:val="center"/>
          </w:tcPr>
          <w:p w14:paraId="77D62897">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9" w:type="dxa"/>
            <w:noWrap w:val="0"/>
            <w:vAlign w:val="center"/>
          </w:tcPr>
          <w:p w14:paraId="04C220F1">
            <w:pPr>
              <w:keepNext w:val="0"/>
              <w:keepLines w:val="0"/>
              <w:suppressLineNumbers w:val="0"/>
              <w:spacing w:before="0" w:beforeAutospacing="0" w:after="0" w:afterAutospacing="0"/>
              <w:ind w:left="0" w:leftChars="0" w:right="0" w:rightChars="0"/>
              <w:jc w:val="center"/>
              <w:outlineLvl w:val="9"/>
              <w:rPr>
                <w:rFonts w:hint="default"/>
                <w:color w:val="auto"/>
                <w:szCs w:val="21"/>
              </w:rPr>
            </w:pPr>
            <w:r>
              <w:rPr>
                <w:rFonts w:hint="default" w:ascii="Times New Roman" w:hAnsi="Times New Roman" w:cs="Times New Roman"/>
                <w:snapToGrid w:val="0"/>
                <w:color w:val="auto"/>
                <w:kern w:val="21"/>
                <w:szCs w:val="21"/>
              </w:rPr>
              <w:t>/</w:t>
            </w:r>
          </w:p>
        </w:tc>
        <w:tc>
          <w:tcPr>
            <w:tcW w:w="1761" w:type="dxa"/>
            <w:noWrap w:val="0"/>
            <w:vAlign w:val="center"/>
          </w:tcPr>
          <w:p w14:paraId="64D681DA">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2" w:type="dxa"/>
            <w:noWrap w:val="0"/>
            <w:vAlign w:val="center"/>
          </w:tcPr>
          <w:p w14:paraId="23643895">
            <w:pPr>
              <w:keepNext w:val="0"/>
              <w:keepLines w:val="0"/>
              <w:suppressLineNumbers w:val="0"/>
              <w:spacing w:before="0" w:beforeAutospacing="0" w:after="0" w:afterAutospacing="0"/>
              <w:ind w:left="0" w:leftChars="0" w:right="0" w:rightChars="0"/>
              <w:jc w:val="center"/>
              <w:outlineLvl w:val="9"/>
              <w:rPr>
                <w:rFonts w:hint="default"/>
                <w:color w:val="auto"/>
                <w:szCs w:val="21"/>
              </w:rPr>
            </w:pPr>
            <w:r>
              <w:rPr>
                <w:rFonts w:hint="default" w:ascii="Times New Roman" w:hAnsi="Times New Roman" w:cs="Times New Roman"/>
                <w:snapToGrid w:val="0"/>
                <w:color w:val="auto"/>
                <w:kern w:val="21"/>
                <w:szCs w:val="21"/>
              </w:rPr>
              <w:t>/</w:t>
            </w:r>
          </w:p>
        </w:tc>
        <w:tc>
          <w:tcPr>
            <w:tcW w:w="1233" w:type="dxa"/>
            <w:noWrap w:val="0"/>
            <w:vAlign w:val="center"/>
          </w:tcPr>
          <w:p w14:paraId="7EB480C7">
            <w:pPr>
              <w:keepNext w:val="0"/>
              <w:keepLines w:val="0"/>
              <w:suppressLineNumbers w:val="0"/>
              <w:spacing w:before="0" w:beforeAutospacing="0" w:after="0" w:afterAutospacing="0"/>
              <w:ind w:left="0" w:right="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r>
      <w:tr w14:paraId="14890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noWrap w:val="0"/>
            <w:vAlign w:val="center"/>
          </w:tcPr>
          <w:p w14:paraId="398EFCED">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kern w:val="21"/>
                <w:szCs w:val="21"/>
                <w:lang w:val="en-US" w:eastAsia="zh-CN"/>
              </w:rPr>
            </w:pPr>
            <w:r>
              <w:rPr>
                <w:rFonts w:hint="default" w:ascii="Times New Roman"/>
                <w:snapToGrid w:val="0"/>
                <w:color w:val="auto"/>
                <w:kern w:val="21"/>
                <w:szCs w:val="21"/>
                <w:lang w:val="en-US" w:eastAsia="zh-CN"/>
              </w:rPr>
              <w:t>一般工业</w:t>
            </w:r>
          </w:p>
          <w:p w14:paraId="4B5983EC">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kern w:val="21"/>
                <w:szCs w:val="21"/>
                <w:lang w:val="en-US" w:eastAsia="zh-CN"/>
              </w:rPr>
            </w:pPr>
            <w:r>
              <w:rPr>
                <w:rFonts w:hint="default" w:ascii="Times New Roman"/>
                <w:snapToGrid w:val="0"/>
                <w:color w:val="auto"/>
                <w:kern w:val="21"/>
                <w:szCs w:val="21"/>
                <w:lang w:val="en-US" w:eastAsia="zh-CN"/>
              </w:rPr>
              <w:t>固体废物</w:t>
            </w:r>
          </w:p>
        </w:tc>
        <w:tc>
          <w:tcPr>
            <w:tcW w:w="1498" w:type="dxa"/>
            <w:noWrap w:val="0"/>
            <w:vAlign w:val="center"/>
          </w:tcPr>
          <w:p w14:paraId="4AF15BD7">
            <w:pPr>
              <w:pStyle w:val="73"/>
              <w:keepNext w:val="0"/>
              <w:keepLines w:val="0"/>
              <w:suppressLineNumbers w:val="0"/>
              <w:spacing w:before="0" w:beforeLines="0" w:beforeAutospacing="0" w:after="0" w:afterLines="0" w:afterAutospacing="0" w:line="240" w:lineRule="auto"/>
              <w:ind w:right="0"/>
              <w:jc w:val="center"/>
              <w:outlineLvl w:val="9"/>
              <w:rPr>
                <w:rFonts w:hint="eastAsia" w:ascii="Times New Roman"/>
                <w:snapToGrid w:val="0"/>
                <w:color w:val="auto"/>
                <w:kern w:val="21"/>
                <w:szCs w:val="21"/>
                <w:lang w:val="en-US" w:eastAsia="zh-CN"/>
              </w:rPr>
            </w:pPr>
            <w:r>
              <w:rPr>
                <w:rFonts w:hint="eastAsia" w:ascii="Times New Roman"/>
                <w:snapToGrid w:val="0"/>
                <w:color w:val="auto"/>
                <w:kern w:val="21"/>
                <w:szCs w:val="21"/>
                <w:lang w:val="en-US" w:eastAsia="zh-CN"/>
              </w:rPr>
              <w:t>生活垃圾</w:t>
            </w:r>
          </w:p>
        </w:tc>
        <w:tc>
          <w:tcPr>
            <w:tcW w:w="1620" w:type="dxa"/>
            <w:noWrap w:val="0"/>
            <w:vAlign w:val="center"/>
          </w:tcPr>
          <w:p w14:paraId="0BC4749A">
            <w:pPr>
              <w:keepNext w:val="0"/>
              <w:keepLines w:val="0"/>
              <w:suppressLineNumbers w:val="0"/>
              <w:spacing w:before="0" w:beforeAutospacing="0" w:after="0" w:afterAutospacing="0"/>
              <w:ind w:left="0" w:right="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672" w:type="dxa"/>
            <w:noWrap w:val="0"/>
            <w:vAlign w:val="center"/>
          </w:tcPr>
          <w:p w14:paraId="7C0CE161">
            <w:pPr>
              <w:keepNext w:val="0"/>
              <w:keepLines w:val="0"/>
              <w:suppressLineNumbers w:val="0"/>
              <w:spacing w:before="0" w:beforeAutospacing="0" w:after="0" w:afterAutospacing="0"/>
              <w:ind w:left="0" w:right="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305" w:type="dxa"/>
            <w:noWrap w:val="0"/>
            <w:vAlign w:val="center"/>
          </w:tcPr>
          <w:p w14:paraId="50F80546">
            <w:pPr>
              <w:keepNext w:val="0"/>
              <w:keepLines w:val="0"/>
              <w:suppressLineNumbers w:val="0"/>
              <w:spacing w:before="0" w:beforeAutospacing="0" w:after="0" w:afterAutospacing="0"/>
              <w:ind w:left="0" w:right="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9" w:type="dxa"/>
            <w:noWrap w:val="0"/>
            <w:vAlign w:val="center"/>
          </w:tcPr>
          <w:p w14:paraId="26A6E6AF">
            <w:pPr>
              <w:pStyle w:val="73"/>
              <w:keepNext w:val="0"/>
              <w:keepLines w:val="0"/>
              <w:suppressLineNumbers w:val="0"/>
              <w:spacing w:before="0" w:beforeLines="0" w:beforeAutospacing="0" w:after="0" w:afterLines="0" w:afterAutospacing="0" w:line="240" w:lineRule="auto"/>
              <w:ind w:right="0"/>
              <w:jc w:val="center"/>
              <w:outlineLvl w:val="9"/>
              <w:rPr>
                <w:rFonts w:hint="default" w:ascii="Times New Roman"/>
                <w:snapToGrid w:val="0"/>
                <w:color w:val="auto"/>
                <w:kern w:val="21"/>
                <w:szCs w:val="21"/>
                <w:lang w:val="en-US" w:eastAsia="zh-CN"/>
              </w:rPr>
            </w:pPr>
            <w:r>
              <w:rPr>
                <w:rFonts w:hint="eastAsia" w:ascii="Times New Roman"/>
                <w:color w:val="auto"/>
                <w:szCs w:val="21"/>
                <w:lang w:val="en-US" w:eastAsia="zh-CN"/>
              </w:rPr>
              <w:t>0.36</w:t>
            </w:r>
            <w:r>
              <w:rPr>
                <w:rFonts w:hint="default" w:ascii="Times New Roman" w:hAnsi="Times New Roman"/>
                <w:color w:val="auto"/>
                <w:szCs w:val="21"/>
                <w:lang w:val="en-US" w:eastAsia="zh-CN"/>
              </w:rPr>
              <w:t>t</w:t>
            </w:r>
            <w:r>
              <w:rPr>
                <w:rFonts w:hint="default" w:ascii="Times New Roman"/>
                <w:color w:val="auto"/>
                <w:szCs w:val="21"/>
                <w:lang w:val="en-US" w:eastAsia="zh-CN"/>
              </w:rPr>
              <w:t>/</w:t>
            </w:r>
            <w:r>
              <w:rPr>
                <w:rFonts w:hint="default" w:ascii="Times New Roman" w:hAnsi="Times New Roman"/>
                <w:color w:val="auto"/>
                <w:szCs w:val="21"/>
                <w:lang w:val="en-US" w:eastAsia="zh-CN"/>
              </w:rPr>
              <w:t>a</w:t>
            </w:r>
          </w:p>
        </w:tc>
        <w:tc>
          <w:tcPr>
            <w:tcW w:w="1761" w:type="dxa"/>
            <w:noWrap w:val="0"/>
            <w:vAlign w:val="center"/>
          </w:tcPr>
          <w:p w14:paraId="678D8631">
            <w:pPr>
              <w:keepNext w:val="0"/>
              <w:keepLines w:val="0"/>
              <w:suppressLineNumbers w:val="0"/>
              <w:spacing w:before="0" w:beforeAutospacing="0" w:after="0" w:afterAutospacing="0"/>
              <w:ind w:left="0" w:right="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2" w:type="dxa"/>
            <w:noWrap w:val="0"/>
            <w:vAlign w:val="center"/>
          </w:tcPr>
          <w:p w14:paraId="5FEEC69F">
            <w:pPr>
              <w:pStyle w:val="73"/>
              <w:keepNext w:val="0"/>
              <w:keepLines w:val="0"/>
              <w:suppressLineNumbers w:val="0"/>
              <w:spacing w:before="0" w:beforeLines="0" w:beforeAutospacing="0" w:after="0" w:afterLines="0" w:afterAutospacing="0" w:line="240" w:lineRule="auto"/>
              <w:ind w:left="420" w:leftChars="0" w:right="0" w:rightChars="0" w:hanging="420" w:hangingChars="200"/>
              <w:jc w:val="center"/>
              <w:outlineLvl w:val="9"/>
              <w:rPr>
                <w:rFonts w:hint="default" w:ascii="Times New Roman"/>
                <w:snapToGrid w:val="0"/>
                <w:color w:val="auto"/>
                <w:kern w:val="21"/>
                <w:szCs w:val="21"/>
                <w:lang w:val="en-US" w:eastAsia="zh-CN"/>
              </w:rPr>
            </w:pPr>
            <w:r>
              <w:rPr>
                <w:rFonts w:hint="eastAsia" w:ascii="Times New Roman"/>
                <w:color w:val="auto"/>
                <w:szCs w:val="21"/>
                <w:lang w:val="en-US" w:eastAsia="zh-CN"/>
              </w:rPr>
              <w:t>0.36</w:t>
            </w:r>
            <w:r>
              <w:rPr>
                <w:rFonts w:hint="default" w:ascii="Times New Roman" w:hAnsi="Times New Roman"/>
                <w:color w:val="auto"/>
                <w:szCs w:val="21"/>
                <w:lang w:val="en-US" w:eastAsia="zh-CN"/>
              </w:rPr>
              <w:t>t</w:t>
            </w:r>
            <w:r>
              <w:rPr>
                <w:rFonts w:hint="default" w:ascii="Times New Roman"/>
                <w:color w:val="auto"/>
                <w:szCs w:val="21"/>
                <w:lang w:val="en-US" w:eastAsia="zh-CN"/>
              </w:rPr>
              <w:t>/</w:t>
            </w:r>
            <w:r>
              <w:rPr>
                <w:rFonts w:hint="default" w:ascii="Times New Roman" w:hAnsi="Times New Roman"/>
                <w:color w:val="auto"/>
                <w:szCs w:val="21"/>
                <w:lang w:val="en-US" w:eastAsia="zh-CN"/>
              </w:rPr>
              <w:t>a</w:t>
            </w:r>
          </w:p>
        </w:tc>
        <w:tc>
          <w:tcPr>
            <w:tcW w:w="1233" w:type="dxa"/>
            <w:noWrap w:val="0"/>
            <w:vAlign w:val="center"/>
          </w:tcPr>
          <w:p w14:paraId="53A42E2A">
            <w:pPr>
              <w:keepNext w:val="0"/>
              <w:keepLines w:val="0"/>
              <w:suppressLineNumbers w:val="0"/>
              <w:spacing w:before="0" w:beforeAutospacing="0" w:after="0" w:afterAutospacing="0"/>
              <w:ind w:left="0" w:right="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r>
      <w:tr w14:paraId="5D0AC1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2A523874">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kern w:val="21"/>
                <w:szCs w:val="21"/>
                <w:lang w:val="en-US" w:eastAsia="zh-CN"/>
              </w:rPr>
            </w:pPr>
          </w:p>
        </w:tc>
        <w:tc>
          <w:tcPr>
            <w:tcW w:w="1498" w:type="dxa"/>
            <w:noWrap w:val="0"/>
            <w:vAlign w:val="center"/>
          </w:tcPr>
          <w:p w14:paraId="6FC6850C">
            <w:pPr>
              <w:keepNext w:val="0"/>
              <w:keepLines w:val="0"/>
              <w:suppressLineNumbers w:val="0"/>
              <w:spacing w:before="0" w:beforeAutospacing="0" w:after="0" w:afterAutospacing="0"/>
              <w:ind w:left="0" w:leftChars="0" w:right="0" w:rightChars="0"/>
              <w:jc w:val="center"/>
              <w:outlineLvl w:val="9"/>
              <w:rPr>
                <w:rFonts w:hint="default" w:ascii="Times New Roman"/>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620" w:type="dxa"/>
            <w:noWrap w:val="0"/>
            <w:vAlign w:val="center"/>
          </w:tcPr>
          <w:p w14:paraId="298E7CA8">
            <w:pPr>
              <w:keepNext w:val="0"/>
              <w:keepLines w:val="0"/>
              <w:suppressLineNumbers w:val="0"/>
              <w:spacing w:before="0" w:beforeAutospacing="0" w:after="0" w:afterAutospacing="0"/>
              <w:ind w:left="0" w:leftChars="0" w:right="0" w:rightChars="0"/>
              <w:jc w:val="center"/>
              <w:outlineLvl w:val="9"/>
              <w:rPr>
                <w:rFonts w:hint="eastAsia" w:ascii="Times New Roman" w:hAnsi="Times New Roman" w:cs="Times New Roman" w:eastAsiaTheme="minorEastAsia"/>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672" w:type="dxa"/>
            <w:noWrap w:val="0"/>
            <w:vAlign w:val="center"/>
          </w:tcPr>
          <w:p w14:paraId="097ACA04">
            <w:pPr>
              <w:keepNext w:val="0"/>
              <w:keepLines w:val="0"/>
              <w:suppressLineNumbers w:val="0"/>
              <w:spacing w:before="0" w:beforeAutospacing="0" w:after="0" w:afterAutospacing="0"/>
              <w:ind w:left="0" w:leftChars="0" w:right="0" w:rightChars="0"/>
              <w:jc w:val="center"/>
              <w:outlineLvl w:val="9"/>
              <w:rPr>
                <w:rFonts w:hint="eastAsia" w:ascii="Times New Roman" w:hAnsi="Times New Roman" w:cs="Times New Roman" w:eastAsiaTheme="minorEastAsia"/>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305" w:type="dxa"/>
            <w:noWrap w:val="0"/>
            <w:vAlign w:val="center"/>
          </w:tcPr>
          <w:p w14:paraId="19B3571D">
            <w:pPr>
              <w:keepNext w:val="0"/>
              <w:keepLines w:val="0"/>
              <w:suppressLineNumbers w:val="0"/>
              <w:spacing w:before="0" w:beforeAutospacing="0" w:after="0" w:afterAutospacing="0"/>
              <w:ind w:left="0" w:leftChars="0" w:right="0" w:rightChars="0"/>
              <w:jc w:val="center"/>
              <w:outlineLvl w:val="9"/>
              <w:rPr>
                <w:rFonts w:hint="eastAsia" w:ascii="Times New Roman" w:hAnsi="Times New Roman" w:cs="Times New Roman" w:eastAsiaTheme="minorEastAsia"/>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559" w:type="dxa"/>
            <w:noWrap w:val="0"/>
            <w:vAlign w:val="center"/>
          </w:tcPr>
          <w:p w14:paraId="2EB737B4">
            <w:pPr>
              <w:keepNext w:val="0"/>
              <w:keepLines w:val="0"/>
              <w:suppressLineNumbers w:val="0"/>
              <w:spacing w:before="0" w:beforeAutospacing="0" w:after="0" w:afterAutospacing="0"/>
              <w:ind w:left="0" w:leftChars="0" w:right="0" w:rightChars="0"/>
              <w:jc w:val="center"/>
              <w:outlineLvl w:val="9"/>
              <w:rPr>
                <w:rFonts w:hint="default" w:ascii="Times New Roman"/>
                <w:color w:val="auto"/>
                <w:szCs w:val="21"/>
                <w:lang w:val="en-US" w:eastAsia="zh-CN"/>
              </w:rPr>
            </w:pPr>
            <w:r>
              <w:rPr>
                <w:rFonts w:hint="default" w:ascii="Times New Roman" w:hAnsi="Times New Roman" w:cs="Times New Roman"/>
                <w:snapToGrid w:val="0"/>
                <w:color w:val="auto"/>
                <w:kern w:val="21"/>
                <w:szCs w:val="21"/>
              </w:rPr>
              <w:t>/</w:t>
            </w:r>
          </w:p>
        </w:tc>
        <w:tc>
          <w:tcPr>
            <w:tcW w:w="1761" w:type="dxa"/>
            <w:noWrap w:val="0"/>
            <w:vAlign w:val="center"/>
          </w:tcPr>
          <w:p w14:paraId="6FABECF1">
            <w:pPr>
              <w:keepNext w:val="0"/>
              <w:keepLines w:val="0"/>
              <w:suppressLineNumbers w:val="0"/>
              <w:spacing w:before="0" w:beforeAutospacing="0" w:after="0" w:afterAutospacing="0"/>
              <w:ind w:left="0" w:leftChars="0" w:right="0" w:rightChars="0"/>
              <w:jc w:val="center"/>
              <w:outlineLvl w:val="9"/>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2" w:type="dxa"/>
            <w:noWrap w:val="0"/>
            <w:vAlign w:val="center"/>
          </w:tcPr>
          <w:p w14:paraId="75531AD5">
            <w:pPr>
              <w:keepNext w:val="0"/>
              <w:keepLines w:val="0"/>
              <w:suppressLineNumbers w:val="0"/>
              <w:spacing w:before="0" w:beforeAutospacing="0" w:after="0" w:afterAutospacing="0"/>
              <w:ind w:left="0" w:leftChars="0" w:right="0" w:rightChars="0"/>
              <w:jc w:val="center"/>
              <w:outlineLvl w:val="9"/>
              <w:rPr>
                <w:rFonts w:hint="eastAsia" w:ascii="Times New Roman"/>
                <w:color w:val="auto"/>
                <w:szCs w:val="21"/>
                <w:lang w:val="en-US" w:eastAsia="zh-CN"/>
              </w:rPr>
            </w:pPr>
            <w:r>
              <w:rPr>
                <w:rFonts w:hint="default" w:ascii="Times New Roman" w:hAnsi="Times New Roman" w:cs="Times New Roman"/>
                <w:snapToGrid w:val="0"/>
                <w:color w:val="auto"/>
                <w:kern w:val="21"/>
                <w:szCs w:val="21"/>
              </w:rPr>
              <w:t>/</w:t>
            </w:r>
          </w:p>
        </w:tc>
        <w:tc>
          <w:tcPr>
            <w:tcW w:w="1233" w:type="dxa"/>
            <w:noWrap w:val="0"/>
            <w:vAlign w:val="center"/>
          </w:tcPr>
          <w:p w14:paraId="793CF9A0">
            <w:pPr>
              <w:keepNext w:val="0"/>
              <w:keepLines w:val="0"/>
              <w:suppressLineNumbers w:val="0"/>
              <w:spacing w:before="0" w:beforeAutospacing="0" w:after="0" w:afterAutospacing="0"/>
              <w:ind w:left="0" w:right="0"/>
              <w:jc w:val="center"/>
              <w:outlineLvl w:val="9"/>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w:t>
            </w:r>
          </w:p>
        </w:tc>
      </w:tr>
      <w:tr w14:paraId="0819D4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noWrap w:val="0"/>
            <w:vAlign w:val="center"/>
          </w:tcPr>
          <w:p w14:paraId="77EC9C6E">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kern w:val="21"/>
                <w:szCs w:val="21"/>
                <w:lang w:val="en-US" w:eastAsia="zh-CN"/>
              </w:rPr>
            </w:pPr>
          </w:p>
        </w:tc>
        <w:tc>
          <w:tcPr>
            <w:tcW w:w="1498" w:type="dxa"/>
            <w:noWrap w:val="0"/>
            <w:vAlign w:val="center"/>
          </w:tcPr>
          <w:p w14:paraId="2706839C">
            <w:pPr>
              <w:keepNext w:val="0"/>
              <w:keepLines w:val="0"/>
              <w:suppressLineNumbers w:val="0"/>
              <w:spacing w:before="0" w:beforeAutospacing="0" w:after="0" w:afterAutospacing="0"/>
              <w:ind w:left="0" w:leftChars="0" w:right="0" w:rightChars="0"/>
              <w:jc w:val="center"/>
              <w:outlineLvl w:val="9"/>
              <w:rPr>
                <w:rFonts w:hint="default" w:ascii="Times New Roman"/>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620" w:type="dxa"/>
            <w:noWrap w:val="0"/>
            <w:vAlign w:val="center"/>
          </w:tcPr>
          <w:p w14:paraId="2C1E46DC">
            <w:pPr>
              <w:keepNext w:val="0"/>
              <w:keepLines w:val="0"/>
              <w:suppressLineNumbers w:val="0"/>
              <w:spacing w:before="0" w:beforeAutospacing="0" w:after="0" w:afterAutospacing="0"/>
              <w:ind w:left="0" w:leftChars="0" w:right="0" w:rightChars="0"/>
              <w:jc w:val="center"/>
              <w:outlineLvl w:val="9"/>
              <w:rPr>
                <w:rFonts w:hint="default" w:ascii="Times New Roman" w:hAnsi="Times New Roman" w:cs="Times New Roman"/>
                <w:snapToGrid w:val="0"/>
                <w:color w:val="auto"/>
                <w:kern w:val="21"/>
                <w:szCs w:val="21"/>
                <w:lang w:val="en-US"/>
              </w:rPr>
            </w:pPr>
            <w:r>
              <w:rPr>
                <w:rFonts w:hint="default" w:ascii="Times New Roman" w:hAnsi="Times New Roman" w:cs="Times New Roman"/>
                <w:snapToGrid w:val="0"/>
                <w:color w:val="auto"/>
                <w:kern w:val="21"/>
                <w:szCs w:val="21"/>
              </w:rPr>
              <w:t>/</w:t>
            </w:r>
          </w:p>
        </w:tc>
        <w:tc>
          <w:tcPr>
            <w:tcW w:w="1672" w:type="dxa"/>
            <w:noWrap w:val="0"/>
            <w:vAlign w:val="center"/>
          </w:tcPr>
          <w:p w14:paraId="5A0A5031">
            <w:pPr>
              <w:keepNext w:val="0"/>
              <w:keepLines w:val="0"/>
              <w:suppressLineNumbers w:val="0"/>
              <w:spacing w:before="0" w:beforeAutospacing="0" w:after="0" w:afterAutospacing="0"/>
              <w:ind w:left="0" w:leftChars="0" w:right="0" w:rightChars="0"/>
              <w:jc w:val="center"/>
              <w:outlineLvl w:val="9"/>
              <w:rPr>
                <w:rFonts w:hint="default" w:ascii="Times New Roman" w:hAnsi="Times New Roman" w:cs="Times New Roman"/>
                <w:snapToGrid w:val="0"/>
                <w:color w:val="auto"/>
                <w:kern w:val="21"/>
                <w:szCs w:val="21"/>
                <w:lang w:val="en-US"/>
              </w:rPr>
            </w:pPr>
            <w:r>
              <w:rPr>
                <w:rFonts w:hint="default" w:ascii="Times New Roman" w:hAnsi="Times New Roman" w:cs="Times New Roman"/>
                <w:snapToGrid w:val="0"/>
                <w:color w:val="auto"/>
                <w:kern w:val="21"/>
                <w:szCs w:val="21"/>
              </w:rPr>
              <w:t>/</w:t>
            </w:r>
          </w:p>
        </w:tc>
        <w:tc>
          <w:tcPr>
            <w:tcW w:w="1305" w:type="dxa"/>
            <w:noWrap w:val="0"/>
            <w:vAlign w:val="center"/>
          </w:tcPr>
          <w:p w14:paraId="6AF1F4BB">
            <w:pPr>
              <w:keepNext w:val="0"/>
              <w:keepLines w:val="0"/>
              <w:suppressLineNumbers w:val="0"/>
              <w:spacing w:before="0" w:beforeAutospacing="0" w:after="0" w:afterAutospacing="0"/>
              <w:ind w:left="0" w:leftChars="0" w:right="0" w:rightChars="0"/>
              <w:jc w:val="center"/>
              <w:outlineLvl w:val="9"/>
              <w:rPr>
                <w:rFonts w:hint="default" w:ascii="Times New Roman" w:hAnsi="Times New Roman" w:cs="Times New Roman"/>
                <w:snapToGrid w:val="0"/>
                <w:color w:val="auto"/>
                <w:kern w:val="21"/>
                <w:szCs w:val="21"/>
                <w:lang w:val="en-US"/>
              </w:rPr>
            </w:pPr>
            <w:r>
              <w:rPr>
                <w:rFonts w:hint="default" w:ascii="Times New Roman" w:hAnsi="Times New Roman" w:cs="Times New Roman"/>
                <w:snapToGrid w:val="0"/>
                <w:color w:val="auto"/>
                <w:kern w:val="21"/>
                <w:szCs w:val="21"/>
              </w:rPr>
              <w:t>/</w:t>
            </w:r>
          </w:p>
        </w:tc>
        <w:tc>
          <w:tcPr>
            <w:tcW w:w="1559" w:type="dxa"/>
            <w:noWrap w:val="0"/>
            <w:vAlign w:val="center"/>
          </w:tcPr>
          <w:p w14:paraId="181DAE9C">
            <w:pPr>
              <w:keepNext w:val="0"/>
              <w:keepLines w:val="0"/>
              <w:suppressLineNumbers w:val="0"/>
              <w:spacing w:before="0" w:beforeAutospacing="0" w:after="0" w:afterAutospacing="0"/>
              <w:ind w:left="0" w:leftChars="0" w:right="0" w:rightChars="0"/>
              <w:jc w:val="center"/>
              <w:outlineLvl w:val="9"/>
              <w:rPr>
                <w:rFonts w:hint="default" w:ascii="Times New Roman"/>
                <w:color w:val="auto"/>
                <w:szCs w:val="21"/>
                <w:lang w:val="en-US" w:eastAsia="zh-CN"/>
              </w:rPr>
            </w:pPr>
            <w:r>
              <w:rPr>
                <w:rFonts w:hint="default" w:ascii="Times New Roman" w:hAnsi="Times New Roman" w:cs="Times New Roman"/>
                <w:snapToGrid w:val="0"/>
                <w:color w:val="auto"/>
                <w:kern w:val="21"/>
                <w:szCs w:val="21"/>
              </w:rPr>
              <w:t>/</w:t>
            </w:r>
          </w:p>
        </w:tc>
        <w:tc>
          <w:tcPr>
            <w:tcW w:w="1761" w:type="dxa"/>
            <w:noWrap w:val="0"/>
            <w:vAlign w:val="center"/>
          </w:tcPr>
          <w:p w14:paraId="0BBE2476">
            <w:pPr>
              <w:keepNext w:val="0"/>
              <w:keepLines w:val="0"/>
              <w:suppressLineNumbers w:val="0"/>
              <w:spacing w:before="0" w:beforeAutospacing="0" w:after="0" w:afterAutospacing="0"/>
              <w:ind w:left="0" w:leftChars="0" w:right="0" w:rightChars="0"/>
              <w:jc w:val="center"/>
              <w:outlineLvl w:val="9"/>
              <w:rPr>
                <w:rFonts w:hint="default" w:ascii="Times New Roman" w:hAnsi="Times New Roman" w:cs="Times New Roman"/>
                <w:snapToGrid w:val="0"/>
                <w:color w:val="auto"/>
                <w:kern w:val="21"/>
                <w:szCs w:val="21"/>
                <w:lang w:val="en-US"/>
              </w:rPr>
            </w:pPr>
            <w:r>
              <w:rPr>
                <w:rFonts w:hint="default" w:ascii="Times New Roman" w:hAnsi="Times New Roman" w:cs="Times New Roman"/>
                <w:snapToGrid w:val="0"/>
                <w:color w:val="auto"/>
                <w:kern w:val="21"/>
                <w:szCs w:val="21"/>
              </w:rPr>
              <w:t>/</w:t>
            </w:r>
          </w:p>
        </w:tc>
        <w:tc>
          <w:tcPr>
            <w:tcW w:w="1552" w:type="dxa"/>
            <w:noWrap w:val="0"/>
            <w:vAlign w:val="center"/>
          </w:tcPr>
          <w:p w14:paraId="3E8990EC">
            <w:pPr>
              <w:keepNext w:val="0"/>
              <w:keepLines w:val="0"/>
              <w:suppressLineNumbers w:val="0"/>
              <w:spacing w:before="0" w:beforeAutospacing="0" w:after="0" w:afterAutospacing="0"/>
              <w:ind w:left="0" w:leftChars="0" w:right="0" w:rightChars="0"/>
              <w:jc w:val="center"/>
              <w:outlineLvl w:val="9"/>
              <w:rPr>
                <w:rFonts w:hint="default" w:ascii="Times New Roman"/>
                <w:color w:val="auto"/>
                <w:szCs w:val="21"/>
                <w:lang w:val="en-US" w:eastAsia="zh-CN"/>
              </w:rPr>
            </w:pPr>
            <w:r>
              <w:rPr>
                <w:rFonts w:hint="default" w:ascii="Times New Roman" w:hAnsi="Times New Roman" w:cs="Times New Roman"/>
                <w:snapToGrid w:val="0"/>
                <w:color w:val="auto"/>
                <w:kern w:val="21"/>
                <w:szCs w:val="21"/>
              </w:rPr>
              <w:t>/</w:t>
            </w:r>
          </w:p>
        </w:tc>
        <w:tc>
          <w:tcPr>
            <w:tcW w:w="1233" w:type="dxa"/>
            <w:noWrap w:val="0"/>
            <w:vAlign w:val="center"/>
          </w:tcPr>
          <w:p w14:paraId="60587A32">
            <w:pPr>
              <w:keepNext w:val="0"/>
              <w:keepLines w:val="0"/>
              <w:suppressLineNumbers w:val="0"/>
              <w:spacing w:before="0" w:beforeAutospacing="0" w:after="0" w:afterAutospacing="0"/>
              <w:ind w:left="0" w:right="0"/>
              <w:jc w:val="center"/>
              <w:outlineLvl w:val="9"/>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w:t>
            </w:r>
          </w:p>
        </w:tc>
      </w:tr>
      <w:tr w14:paraId="4B5645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noWrap w:val="0"/>
            <w:vAlign w:val="center"/>
          </w:tcPr>
          <w:p w14:paraId="5F38CE99">
            <w:pPr>
              <w:pStyle w:val="73"/>
              <w:keepNext w:val="0"/>
              <w:keepLines w:val="0"/>
              <w:suppressLineNumbers w:val="0"/>
              <w:spacing w:before="0" w:beforeLines="0" w:beforeAutospacing="0" w:after="0" w:afterLines="0" w:afterAutospacing="0" w:line="240" w:lineRule="auto"/>
              <w:ind w:right="0"/>
              <w:outlineLvl w:val="9"/>
              <w:rPr>
                <w:rFonts w:hint="default" w:ascii="Times New Roman"/>
                <w:snapToGrid w:val="0"/>
                <w:color w:val="auto"/>
                <w:kern w:val="21"/>
                <w:szCs w:val="21"/>
                <w:lang w:val="en-US" w:eastAsia="zh-CN"/>
              </w:rPr>
            </w:pPr>
            <w:r>
              <w:rPr>
                <w:rFonts w:hint="default" w:ascii="Times New Roman"/>
                <w:snapToGrid w:val="0"/>
                <w:color w:val="auto"/>
                <w:kern w:val="21"/>
                <w:szCs w:val="21"/>
                <w:lang w:val="en-US" w:eastAsia="zh-CN"/>
              </w:rPr>
              <w:t>危险废物</w:t>
            </w:r>
          </w:p>
        </w:tc>
        <w:tc>
          <w:tcPr>
            <w:tcW w:w="1498" w:type="dxa"/>
            <w:noWrap w:val="0"/>
            <w:vAlign w:val="center"/>
          </w:tcPr>
          <w:p w14:paraId="2A98FE23">
            <w:pPr>
              <w:keepNext w:val="0"/>
              <w:keepLines w:val="0"/>
              <w:suppressLineNumbers w:val="0"/>
              <w:spacing w:before="0" w:beforeAutospacing="0" w:after="0" w:afterAutospacing="0"/>
              <w:ind w:left="0" w:leftChars="0" w:right="0" w:rightChars="0"/>
              <w:jc w:val="center"/>
              <w:outlineLvl w:val="9"/>
              <w:rPr>
                <w:rFonts w:hint="default" w:ascii="Times New Roman"/>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620" w:type="dxa"/>
            <w:noWrap w:val="0"/>
            <w:vAlign w:val="center"/>
          </w:tcPr>
          <w:p w14:paraId="404DCA57">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672" w:type="dxa"/>
            <w:noWrap w:val="0"/>
            <w:vAlign w:val="center"/>
          </w:tcPr>
          <w:p w14:paraId="3BE46BD9">
            <w:pPr>
              <w:keepNext w:val="0"/>
              <w:keepLines w:val="0"/>
              <w:suppressLineNumbers w:val="0"/>
              <w:spacing w:before="0" w:beforeAutospacing="0" w:after="0" w:afterAutospacing="0"/>
              <w:ind w:left="0" w:leftChars="0" w:right="0" w:rightChars="0"/>
              <w:jc w:val="center"/>
              <w:outlineLvl w:val="9"/>
              <w:rPr>
                <w:rFonts w:hint="eastAsia"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305" w:type="dxa"/>
            <w:noWrap w:val="0"/>
            <w:vAlign w:val="center"/>
          </w:tcPr>
          <w:p w14:paraId="7214BEF7">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c>
          <w:tcPr>
            <w:tcW w:w="1559" w:type="dxa"/>
            <w:noWrap w:val="0"/>
            <w:vAlign w:val="center"/>
          </w:tcPr>
          <w:p w14:paraId="0C878884">
            <w:pPr>
              <w:keepNext w:val="0"/>
              <w:keepLines w:val="0"/>
              <w:suppressLineNumbers w:val="0"/>
              <w:spacing w:before="0" w:beforeAutospacing="0" w:after="0" w:afterAutospacing="0"/>
              <w:ind w:left="0" w:leftChars="0" w:right="0" w:rightChars="0"/>
              <w:jc w:val="center"/>
              <w:outlineLvl w:val="9"/>
              <w:rPr>
                <w:rFonts w:hint="default" w:ascii="Times New Roman"/>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761" w:type="dxa"/>
            <w:noWrap w:val="0"/>
            <w:vAlign w:val="center"/>
          </w:tcPr>
          <w:p w14:paraId="0B27DC97">
            <w:pPr>
              <w:keepNext w:val="0"/>
              <w:keepLines w:val="0"/>
              <w:suppressLineNumbers w:val="0"/>
              <w:spacing w:before="0" w:beforeAutospacing="0" w:after="0" w:afterAutospacing="0"/>
              <w:ind w:left="0" w:leftChars="0" w:right="0" w:rightChars="0"/>
              <w:jc w:val="center"/>
              <w:outlineLvl w:val="9"/>
              <w:rPr>
                <w:rFonts w:hint="default" w:cs="Times New Roman"/>
                <w:snapToGrid w:val="0"/>
                <w:color w:val="auto"/>
                <w:kern w:val="21"/>
                <w:szCs w:val="21"/>
                <w:lang w:val="en-US"/>
              </w:rPr>
            </w:pPr>
            <w:r>
              <w:rPr>
                <w:rFonts w:hint="default" w:ascii="Times New Roman" w:hAnsi="Times New Roman" w:cs="Times New Roman"/>
                <w:snapToGrid w:val="0"/>
                <w:color w:val="auto"/>
                <w:kern w:val="21"/>
                <w:szCs w:val="21"/>
              </w:rPr>
              <w:t>/</w:t>
            </w:r>
          </w:p>
        </w:tc>
        <w:tc>
          <w:tcPr>
            <w:tcW w:w="1552" w:type="dxa"/>
            <w:noWrap w:val="0"/>
            <w:vAlign w:val="center"/>
          </w:tcPr>
          <w:p w14:paraId="231EB1E0">
            <w:pPr>
              <w:keepNext w:val="0"/>
              <w:keepLines w:val="0"/>
              <w:suppressLineNumbers w:val="0"/>
              <w:spacing w:before="0" w:beforeAutospacing="0" w:after="0" w:afterAutospacing="0"/>
              <w:ind w:left="0" w:leftChars="0" w:right="0" w:rightChars="0"/>
              <w:jc w:val="center"/>
              <w:outlineLvl w:val="9"/>
              <w:rPr>
                <w:rFonts w:hint="default" w:ascii="Times New Roman"/>
                <w:snapToGrid w:val="0"/>
                <w:color w:val="auto"/>
                <w:kern w:val="21"/>
                <w:szCs w:val="21"/>
                <w:lang w:val="en-US" w:eastAsia="zh-CN"/>
              </w:rPr>
            </w:pPr>
            <w:r>
              <w:rPr>
                <w:rFonts w:hint="default" w:ascii="Times New Roman" w:hAnsi="Times New Roman" w:cs="Times New Roman"/>
                <w:snapToGrid w:val="0"/>
                <w:color w:val="auto"/>
                <w:kern w:val="21"/>
                <w:szCs w:val="21"/>
              </w:rPr>
              <w:t>/</w:t>
            </w:r>
          </w:p>
        </w:tc>
        <w:tc>
          <w:tcPr>
            <w:tcW w:w="1233" w:type="dxa"/>
            <w:noWrap w:val="0"/>
            <w:vAlign w:val="center"/>
          </w:tcPr>
          <w:p w14:paraId="05749D56">
            <w:pPr>
              <w:keepNext w:val="0"/>
              <w:keepLines w:val="0"/>
              <w:suppressLineNumbers w:val="0"/>
              <w:spacing w:before="0" w:beforeAutospacing="0" w:after="0" w:afterAutospacing="0"/>
              <w:ind w:left="0" w:right="0"/>
              <w:jc w:val="center"/>
              <w:outlineLvl w:val="9"/>
              <w:rPr>
                <w:rFonts w:hint="default" w:cs="Times New Roman"/>
                <w:snapToGrid w:val="0"/>
                <w:color w:val="auto"/>
                <w:kern w:val="21"/>
                <w:szCs w:val="21"/>
              </w:rPr>
            </w:pPr>
            <w:r>
              <w:rPr>
                <w:rFonts w:hint="default" w:ascii="Times New Roman" w:hAnsi="Times New Roman" w:cs="Times New Roman"/>
                <w:snapToGrid w:val="0"/>
                <w:color w:val="auto"/>
                <w:kern w:val="21"/>
                <w:szCs w:val="21"/>
              </w:rPr>
              <w:t>/</w:t>
            </w:r>
          </w:p>
        </w:tc>
      </w:tr>
    </w:tbl>
    <w:p w14:paraId="1030656A">
      <w:pPr>
        <w:bidi w:val="0"/>
        <w:jc w:val="left"/>
        <w:rPr>
          <w:rFonts w:hint="default"/>
          <w:color w:val="auto"/>
          <w:lang w:val="en-US" w:eastAsia="zh-CN"/>
        </w:rPr>
      </w:pPr>
      <w:bookmarkStart w:id="138" w:name="_GoBack"/>
      <w:bookmarkEnd w:id="138"/>
    </w:p>
    <w:sectPr>
      <w:footerReference r:id="rId6" w:type="default"/>
      <w:pgSz w:w="16783" w:h="11850"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iddenHorzOCR-Identity-H">
    <w:altName w:val="Noto Sans SC"/>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auto"/>
    <w:pitch w:val="default"/>
    <w:sig w:usb0="00000000" w:usb1="00000000" w:usb2="0000007F" w:usb3="00000000" w:csb0="203F01FF" w:csb1="DFFF0000"/>
  </w:font>
  <w:font w:name="Impact">
    <w:panose1 w:val="020B0806030902050204"/>
    <w:charset w:val="00"/>
    <w:family w:val="swiss"/>
    <w:pitch w:val="default"/>
    <w:sig w:usb0="00000287" w:usb1="00000000" w:usb2="00000000" w:usb3="00000000" w:csb0="2000009F" w:csb1="DFD70000"/>
  </w:font>
  <w:font w:name="华文新魏">
    <w:altName w:val="宋体"/>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15FE6">
    <w:pPr>
      <w:pStyle w:val="2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7DFC9">
    <w:pPr>
      <w:pStyle w:val="26"/>
      <w:framePr w:wrap="around" w:vAnchor="text" w:hAnchor="margin" w:xAlign="center" w:y="1"/>
      <w:rPr>
        <w:rStyle w:val="39"/>
      </w:rPr>
    </w:pPr>
    <w:r>
      <w:fldChar w:fldCharType="begin"/>
    </w:r>
    <w:r>
      <w:rPr>
        <w:rStyle w:val="39"/>
      </w:rPr>
      <w:instrText xml:space="preserve">PAGE  </w:instrText>
    </w:r>
    <w:r>
      <w:fldChar w:fldCharType="separate"/>
    </w:r>
    <w:r>
      <w:rPr>
        <w:rStyle w:val="39"/>
        <w:rFonts w:ascii="Times New Roman" w:hAnsi="Times New Roman"/>
      </w:rPr>
      <w:t>3</w:t>
    </w:r>
    <w:r>
      <w:fldChar w:fldCharType="end"/>
    </w:r>
  </w:p>
  <w:p w14:paraId="2AB8AD28">
    <w:pPr>
      <w:pStyle w:val="2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2DC74">
    <w:pPr>
      <w:pStyle w:val="26"/>
      <w:ind w:right="360" w:firstLine="360"/>
      <w:jc w:val="center"/>
      <w:rPr>
        <w:sz w:val="18"/>
        <w:szCs w:val="18"/>
      </w:rPr>
    </w:pPr>
    <w:r>
      <w:rPr>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AB8F8A">
                          <w:pPr>
                            <w:pStyle w:val="26"/>
                            <w:rPr>
                              <w:rStyle w:val="39"/>
                              <w:rFonts w:ascii="宋体" w:hAnsi="宋体"/>
                              <w:sz w:val="28"/>
                              <w:szCs w:val="28"/>
                            </w:rPr>
                          </w:pPr>
                          <w:r>
                            <w:rPr>
                              <w:rStyle w:val="39"/>
                              <w:rFonts w:hint="eastAsia" w:ascii="宋体" w:hAnsi="宋体"/>
                              <w:sz w:val="20"/>
                            </w:rPr>
                            <w:t xml:space="preserve">  </w:t>
                          </w:r>
                          <w:r>
                            <w:rPr>
                              <w:rFonts w:ascii="宋体" w:hAnsi="宋体"/>
                              <w:sz w:val="26"/>
                              <w:szCs w:val="26"/>
                            </w:rPr>
                            <w:fldChar w:fldCharType="begin"/>
                          </w:r>
                          <w:r>
                            <w:rPr>
                              <w:rStyle w:val="39"/>
                              <w:rFonts w:ascii="宋体" w:hAnsi="宋体"/>
                              <w:sz w:val="26"/>
                              <w:szCs w:val="26"/>
                            </w:rPr>
                            <w:instrText xml:space="preserve">PAGE  </w:instrText>
                          </w:r>
                          <w:r>
                            <w:rPr>
                              <w:rFonts w:ascii="宋体" w:hAnsi="宋体"/>
                              <w:sz w:val="26"/>
                              <w:szCs w:val="26"/>
                            </w:rPr>
                            <w:fldChar w:fldCharType="separate"/>
                          </w:r>
                          <w:r>
                            <w:rPr>
                              <w:rStyle w:val="39"/>
                              <w:rFonts w:ascii="宋体" w:hAnsi="宋体"/>
                              <w:sz w:val="26"/>
                              <w:szCs w:val="26"/>
                            </w:rPr>
                            <w:t>4</w:t>
                          </w:r>
                          <w:r>
                            <w:rPr>
                              <w:rFonts w:ascii="宋体" w:hAnsi="宋体"/>
                              <w:sz w:val="26"/>
                              <w:szCs w:val="26"/>
                            </w:rPr>
                            <w:fldChar w:fldCharType="end"/>
                          </w:r>
                          <w:r>
                            <w:rPr>
                              <w:rStyle w:val="39"/>
                              <w:rFonts w:hint="eastAsia" w:ascii="宋体" w:hAnsi="宋体"/>
                              <w:sz w:val="2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4FAB8F8A">
                    <w:pPr>
                      <w:pStyle w:val="26"/>
                      <w:rPr>
                        <w:rStyle w:val="39"/>
                        <w:rFonts w:ascii="宋体" w:hAnsi="宋体"/>
                        <w:sz w:val="28"/>
                        <w:szCs w:val="28"/>
                      </w:rPr>
                    </w:pPr>
                    <w:r>
                      <w:rPr>
                        <w:rStyle w:val="39"/>
                        <w:rFonts w:hint="eastAsia" w:ascii="宋体" w:hAnsi="宋体"/>
                        <w:sz w:val="20"/>
                      </w:rPr>
                      <w:t xml:space="preserve">  </w:t>
                    </w:r>
                    <w:r>
                      <w:rPr>
                        <w:rFonts w:ascii="宋体" w:hAnsi="宋体"/>
                        <w:sz w:val="26"/>
                        <w:szCs w:val="26"/>
                      </w:rPr>
                      <w:fldChar w:fldCharType="begin"/>
                    </w:r>
                    <w:r>
                      <w:rPr>
                        <w:rStyle w:val="39"/>
                        <w:rFonts w:ascii="宋体" w:hAnsi="宋体"/>
                        <w:sz w:val="26"/>
                        <w:szCs w:val="26"/>
                      </w:rPr>
                      <w:instrText xml:space="preserve">PAGE  </w:instrText>
                    </w:r>
                    <w:r>
                      <w:rPr>
                        <w:rFonts w:ascii="宋体" w:hAnsi="宋体"/>
                        <w:sz w:val="26"/>
                        <w:szCs w:val="26"/>
                      </w:rPr>
                      <w:fldChar w:fldCharType="separate"/>
                    </w:r>
                    <w:r>
                      <w:rPr>
                        <w:rStyle w:val="39"/>
                        <w:rFonts w:ascii="宋体" w:hAnsi="宋体"/>
                        <w:sz w:val="26"/>
                        <w:szCs w:val="26"/>
                      </w:rPr>
                      <w:t>4</w:t>
                    </w:r>
                    <w:r>
                      <w:rPr>
                        <w:rFonts w:ascii="宋体" w:hAnsi="宋体"/>
                        <w:sz w:val="26"/>
                        <w:szCs w:val="26"/>
                      </w:rPr>
                      <w:fldChar w:fldCharType="end"/>
                    </w:r>
                    <w:r>
                      <w:rPr>
                        <w:rStyle w:val="39"/>
                        <w:rFonts w:hint="eastAsia" w:ascii="宋体" w:hAnsi="宋体"/>
                        <w:sz w:val="20"/>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CCB92">
    <w:pPr>
      <w:pStyle w:val="26"/>
      <w:rPr>
        <w:rFonts w:ascii="仿宋_GB2312" w:eastAsia="仿宋_GB2312"/>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260F7">
                          <w:pPr>
                            <w:pStyle w:val="26"/>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76</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14:paraId="6CC260F7">
                    <w:pPr>
                      <w:pStyle w:val="26"/>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76</w:t>
                    </w:r>
                    <w:r>
                      <w:rPr>
                        <w:rFonts w:hint="eastAsia" w:asciiTheme="minorEastAsia" w:hAnsiTheme="minorEastAsia" w:eastAsiaTheme="minorEastAsia" w:cstheme="minorEastAsia"/>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12C01F"/>
    <w:multiLevelType w:val="singleLevel"/>
    <w:tmpl w:val="A012C01F"/>
    <w:lvl w:ilvl="0" w:tentative="0">
      <w:start w:val="2"/>
      <w:numFmt w:val="decimal"/>
      <w:suff w:val="nothing"/>
      <w:lvlText w:val="%1、"/>
      <w:lvlJc w:val="left"/>
    </w:lvl>
  </w:abstractNum>
  <w:abstractNum w:abstractNumId="1">
    <w:nsid w:val="CFD1F217"/>
    <w:multiLevelType w:val="singleLevel"/>
    <w:tmpl w:val="CFD1F217"/>
    <w:lvl w:ilvl="0" w:tentative="0">
      <w:start w:val="1"/>
      <w:numFmt w:val="bullet"/>
      <w:pStyle w:val="15"/>
      <w:lvlText w:val=""/>
      <w:lvlJc w:val="left"/>
      <w:pPr>
        <w:tabs>
          <w:tab w:val="left" w:pos="780"/>
        </w:tabs>
        <w:ind w:left="780" w:hanging="360"/>
      </w:pPr>
      <w:rPr>
        <w:rFonts w:hint="default" w:ascii="Wingdings" w:hAnsi="Wingdings"/>
      </w:rPr>
    </w:lvl>
  </w:abstractNum>
  <w:abstractNum w:abstractNumId="2">
    <w:nsid w:val="ED43C3C3"/>
    <w:multiLevelType w:val="singleLevel"/>
    <w:tmpl w:val="ED43C3C3"/>
    <w:lvl w:ilvl="0" w:tentative="0">
      <w:start w:val="3"/>
      <w:numFmt w:val="chineseCounting"/>
      <w:suff w:val="nothing"/>
      <w:lvlText w:val="%1、"/>
      <w:lvlJc w:val="left"/>
      <w:rPr>
        <w:rFonts w:hint="eastAsia"/>
      </w:rPr>
    </w:lvl>
  </w:abstractNum>
  <w:abstractNum w:abstractNumId="3">
    <w:nsid w:val="07D6EDBC"/>
    <w:multiLevelType w:val="singleLevel"/>
    <w:tmpl w:val="07D6EDBC"/>
    <w:lvl w:ilvl="0" w:tentative="0">
      <w:start w:val="4"/>
      <w:numFmt w:val="decimal"/>
      <w:suff w:val="nothing"/>
      <w:lvlText w:val="（%1）"/>
      <w:lvlJc w:val="left"/>
    </w:lvl>
  </w:abstractNum>
  <w:abstractNum w:abstractNumId="4">
    <w:nsid w:val="3FC09D32"/>
    <w:multiLevelType w:val="singleLevel"/>
    <w:tmpl w:val="3FC09D32"/>
    <w:lvl w:ilvl="0" w:tentative="0">
      <w:start w:val="1"/>
      <w:numFmt w:val="decimal"/>
      <w:suff w:val="nothing"/>
      <w:lvlText w:val="（%1）"/>
      <w:lvlJc w:val="left"/>
    </w:lvl>
  </w:abstractNum>
  <w:abstractNum w:abstractNumId="5">
    <w:nsid w:val="75F8A4B7"/>
    <w:multiLevelType w:val="singleLevel"/>
    <w:tmpl w:val="75F8A4B7"/>
    <w:lvl w:ilvl="0" w:tentative="0">
      <w:start w:val="7"/>
      <w:numFmt w:val="chineseCounting"/>
      <w:suff w:val="nothing"/>
      <w:lvlText w:val="%1、"/>
      <w:lvlJc w:val="left"/>
      <w:rPr>
        <w:rFonts w:hint="eastAsia"/>
      </w:rPr>
    </w:lvl>
  </w:abstractNum>
  <w:num w:numId="1">
    <w:abstractNumId w:val="1"/>
  </w:num>
  <w:num w:numId="2">
    <w:abstractNumId w:val="0"/>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3NDg2OWMyN2EwNTRhNTljYmU4ZTZmYjhjYWU3MjQifQ=="/>
  </w:docVars>
  <w:rsids>
    <w:rsidRoot w:val="00172A27"/>
    <w:rsid w:val="000062D4"/>
    <w:rsid w:val="00032C7F"/>
    <w:rsid w:val="00045FA7"/>
    <w:rsid w:val="000742F9"/>
    <w:rsid w:val="00144D0D"/>
    <w:rsid w:val="00172A27"/>
    <w:rsid w:val="001F46D0"/>
    <w:rsid w:val="002F6F1A"/>
    <w:rsid w:val="003812CD"/>
    <w:rsid w:val="003A5F35"/>
    <w:rsid w:val="00615EA1"/>
    <w:rsid w:val="006529FD"/>
    <w:rsid w:val="006674D4"/>
    <w:rsid w:val="006F2B4E"/>
    <w:rsid w:val="00780E53"/>
    <w:rsid w:val="007C1D1A"/>
    <w:rsid w:val="00831075"/>
    <w:rsid w:val="0099068D"/>
    <w:rsid w:val="00A85A40"/>
    <w:rsid w:val="00B72E2A"/>
    <w:rsid w:val="00BD3D0A"/>
    <w:rsid w:val="00C41043"/>
    <w:rsid w:val="00C445E7"/>
    <w:rsid w:val="00D12E11"/>
    <w:rsid w:val="00D9048C"/>
    <w:rsid w:val="00E26D93"/>
    <w:rsid w:val="00E31065"/>
    <w:rsid w:val="00E504E9"/>
    <w:rsid w:val="00F11938"/>
    <w:rsid w:val="00F34229"/>
    <w:rsid w:val="010A36F1"/>
    <w:rsid w:val="01101675"/>
    <w:rsid w:val="01161381"/>
    <w:rsid w:val="011C626C"/>
    <w:rsid w:val="0147778C"/>
    <w:rsid w:val="0156352C"/>
    <w:rsid w:val="01902640"/>
    <w:rsid w:val="01CC17E1"/>
    <w:rsid w:val="01DB7ED5"/>
    <w:rsid w:val="01EC5C3E"/>
    <w:rsid w:val="026223A4"/>
    <w:rsid w:val="02777BFD"/>
    <w:rsid w:val="0389141B"/>
    <w:rsid w:val="03D90444"/>
    <w:rsid w:val="03E676FC"/>
    <w:rsid w:val="041A162E"/>
    <w:rsid w:val="043F6139"/>
    <w:rsid w:val="04673CA2"/>
    <w:rsid w:val="04A42800"/>
    <w:rsid w:val="04AD53A4"/>
    <w:rsid w:val="04FE4606"/>
    <w:rsid w:val="04FE63B4"/>
    <w:rsid w:val="050C7003"/>
    <w:rsid w:val="051A0D14"/>
    <w:rsid w:val="05457A57"/>
    <w:rsid w:val="055F2BCB"/>
    <w:rsid w:val="056C5D91"/>
    <w:rsid w:val="05706602"/>
    <w:rsid w:val="057236C9"/>
    <w:rsid w:val="05782B51"/>
    <w:rsid w:val="05CD222A"/>
    <w:rsid w:val="05D13AC9"/>
    <w:rsid w:val="06020126"/>
    <w:rsid w:val="060865F3"/>
    <w:rsid w:val="061924BA"/>
    <w:rsid w:val="062260D2"/>
    <w:rsid w:val="06471FDD"/>
    <w:rsid w:val="065564A8"/>
    <w:rsid w:val="06826B71"/>
    <w:rsid w:val="06884BE5"/>
    <w:rsid w:val="069401E7"/>
    <w:rsid w:val="0696086E"/>
    <w:rsid w:val="06B64A6C"/>
    <w:rsid w:val="06C929F2"/>
    <w:rsid w:val="06E4782C"/>
    <w:rsid w:val="07247C28"/>
    <w:rsid w:val="073B5AD1"/>
    <w:rsid w:val="07740BAF"/>
    <w:rsid w:val="0797664C"/>
    <w:rsid w:val="07B62F76"/>
    <w:rsid w:val="080737D2"/>
    <w:rsid w:val="08163A15"/>
    <w:rsid w:val="082C3238"/>
    <w:rsid w:val="086C7AD9"/>
    <w:rsid w:val="08A02F4F"/>
    <w:rsid w:val="08DA052F"/>
    <w:rsid w:val="08E36EC8"/>
    <w:rsid w:val="091A5787"/>
    <w:rsid w:val="09570789"/>
    <w:rsid w:val="09776735"/>
    <w:rsid w:val="09F75AC8"/>
    <w:rsid w:val="0A175041"/>
    <w:rsid w:val="0A2F0DBE"/>
    <w:rsid w:val="0A326B00"/>
    <w:rsid w:val="0A640A09"/>
    <w:rsid w:val="0A93759F"/>
    <w:rsid w:val="0AC6422A"/>
    <w:rsid w:val="0ADD4CBE"/>
    <w:rsid w:val="0AF049F1"/>
    <w:rsid w:val="0B2621C1"/>
    <w:rsid w:val="0B7373D0"/>
    <w:rsid w:val="0C874EE1"/>
    <w:rsid w:val="0CB24554"/>
    <w:rsid w:val="0CF07A31"/>
    <w:rsid w:val="0D076022"/>
    <w:rsid w:val="0D093B48"/>
    <w:rsid w:val="0D0A78C0"/>
    <w:rsid w:val="0D1644B7"/>
    <w:rsid w:val="0D330BC5"/>
    <w:rsid w:val="0D49488C"/>
    <w:rsid w:val="0D4E1EA3"/>
    <w:rsid w:val="0D7D62E4"/>
    <w:rsid w:val="0DB937C0"/>
    <w:rsid w:val="0DD56120"/>
    <w:rsid w:val="0E356BBF"/>
    <w:rsid w:val="0E4017EB"/>
    <w:rsid w:val="0E4F1A2E"/>
    <w:rsid w:val="0E7E40C2"/>
    <w:rsid w:val="0E981627"/>
    <w:rsid w:val="0EAA7F63"/>
    <w:rsid w:val="0EAC50D3"/>
    <w:rsid w:val="0EF32D02"/>
    <w:rsid w:val="0F0F5A64"/>
    <w:rsid w:val="0F73799F"/>
    <w:rsid w:val="0F917E25"/>
    <w:rsid w:val="10103090"/>
    <w:rsid w:val="101A6456"/>
    <w:rsid w:val="101F44F2"/>
    <w:rsid w:val="102173FB"/>
    <w:rsid w:val="10252AAA"/>
    <w:rsid w:val="10822BEE"/>
    <w:rsid w:val="10991687"/>
    <w:rsid w:val="10A17354"/>
    <w:rsid w:val="10AF2C58"/>
    <w:rsid w:val="10B62239"/>
    <w:rsid w:val="10D674CA"/>
    <w:rsid w:val="10FF715E"/>
    <w:rsid w:val="1170063A"/>
    <w:rsid w:val="117B1242"/>
    <w:rsid w:val="12575356"/>
    <w:rsid w:val="128F0C4D"/>
    <w:rsid w:val="12D270D2"/>
    <w:rsid w:val="13582A32"/>
    <w:rsid w:val="139A2EE0"/>
    <w:rsid w:val="13C133CE"/>
    <w:rsid w:val="13C93E70"/>
    <w:rsid w:val="14413899"/>
    <w:rsid w:val="149E726C"/>
    <w:rsid w:val="150712B5"/>
    <w:rsid w:val="15211C4B"/>
    <w:rsid w:val="15710B64"/>
    <w:rsid w:val="15A308B2"/>
    <w:rsid w:val="15AF0BFD"/>
    <w:rsid w:val="15E038B4"/>
    <w:rsid w:val="16105652"/>
    <w:rsid w:val="16247C45"/>
    <w:rsid w:val="163A1216"/>
    <w:rsid w:val="16A23360"/>
    <w:rsid w:val="16D25776"/>
    <w:rsid w:val="16D451C7"/>
    <w:rsid w:val="16D52CED"/>
    <w:rsid w:val="17005FBC"/>
    <w:rsid w:val="17435EA8"/>
    <w:rsid w:val="177C4A80"/>
    <w:rsid w:val="17A032FB"/>
    <w:rsid w:val="17D3719A"/>
    <w:rsid w:val="17FB7E50"/>
    <w:rsid w:val="18137F71"/>
    <w:rsid w:val="18BA03EC"/>
    <w:rsid w:val="19C23D0A"/>
    <w:rsid w:val="19F23F18"/>
    <w:rsid w:val="1A213372"/>
    <w:rsid w:val="1A295829"/>
    <w:rsid w:val="1A404921"/>
    <w:rsid w:val="1A642D06"/>
    <w:rsid w:val="1A930B42"/>
    <w:rsid w:val="1AAC5BD6"/>
    <w:rsid w:val="1AAE37B7"/>
    <w:rsid w:val="1AB02711"/>
    <w:rsid w:val="1AC92B69"/>
    <w:rsid w:val="1B2A38E1"/>
    <w:rsid w:val="1B590390"/>
    <w:rsid w:val="1B617245"/>
    <w:rsid w:val="1B9B4D42"/>
    <w:rsid w:val="1B9E5DA3"/>
    <w:rsid w:val="1BCC2910"/>
    <w:rsid w:val="1BD25A4D"/>
    <w:rsid w:val="1C316C17"/>
    <w:rsid w:val="1C454471"/>
    <w:rsid w:val="1C60574F"/>
    <w:rsid w:val="1C735482"/>
    <w:rsid w:val="1C9A0C60"/>
    <w:rsid w:val="1CE93473"/>
    <w:rsid w:val="1CF11BDD"/>
    <w:rsid w:val="1D0C3731"/>
    <w:rsid w:val="1D5C5F16"/>
    <w:rsid w:val="1DF96F03"/>
    <w:rsid w:val="1E0D0FBE"/>
    <w:rsid w:val="1E32061A"/>
    <w:rsid w:val="1E8E0351"/>
    <w:rsid w:val="1EBD29E4"/>
    <w:rsid w:val="1EC023AD"/>
    <w:rsid w:val="1ECE6C92"/>
    <w:rsid w:val="1ED1023E"/>
    <w:rsid w:val="1EEA7005"/>
    <w:rsid w:val="1F066139"/>
    <w:rsid w:val="1F326221"/>
    <w:rsid w:val="1F3A5DE3"/>
    <w:rsid w:val="1FC16504"/>
    <w:rsid w:val="20016901"/>
    <w:rsid w:val="20384A18"/>
    <w:rsid w:val="205D622D"/>
    <w:rsid w:val="20790B8D"/>
    <w:rsid w:val="209D0960"/>
    <w:rsid w:val="20E0128F"/>
    <w:rsid w:val="20FD356C"/>
    <w:rsid w:val="21470C8B"/>
    <w:rsid w:val="21535882"/>
    <w:rsid w:val="215365A5"/>
    <w:rsid w:val="21B856E5"/>
    <w:rsid w:val="21BF5CFE"/>
    <w:rsid w:val="21D62228"/>
    <w:rsid w:val="21FE759C"/>
    <w:rsid w:val="226E5189"/>
    <w:rsid w:val="229E0820"/>
    <w:rsid w:val="22A43D0F"/>
    <w:rsid w:val="231C39F8"/>
    <w:rsid w:val="232A616E"/>
    <w:rsid w:val="234E4553"/>
    <w:rsid w:val="234F5BD5"/>
    <w:rsid w:val="23B14EAB"/>
    <w:rsid w:val="23B9008E"/>
    <w:rsid w:val="23E822B1"/>
    <w:rsid w:val="24030E99"/>
    <w:rsid w:val="24577437"/>
    <w:rsid w:val="24975A86"/>
    <w:rsid w:val="24B6415E"/>
    <w:rsid w:val="25496828"/>
    <w:rsid w:val="25CE197B"/>
    <w:rsid w:val="25EB7E37"/>
    <w:rsid w:val="262D48F3"/>
    <w:rsid w:val="264B349A"/>
    <w:rsid w:val="2666570F"/>
    <w:rsid w:val="2694227D"/>
    <w:rsid w:val="26E53DB6"/>
    <w:rsid w:val="26E777E7"/>
    <w:rsid w:val="26EC20B9"/>
    <w:rsid w:val="27401F40"/>
    <w:rsid w:val="275D4D64"/>
    <w:rsid w:val="27E40FE2"/>
    <w:rsid w:val="286839C1"/>
    <w:rsid w:val="2879797C"/>
    <w:rsid w:val="28BA1D43"/>
    <w:rsid w:val="28E514B5"/>
    <w:rsid w:val="2A3F2B71"/>
    <w:rsid w:val="2A691C72"/>
    <w:rsid w:val="2A6975B9"/>
    <w:rsid w:val="2A9211C9"/>
    <w:rsid w:val="2AF16EF0"/>
    <w:rsid w:val="2B275DB5"/>
    <w:rsid w:val="2B33475A"/>
    <w:rsid w:val="2B3464A0"/>
    <w:rsid w:val="2B795EE5"/>
    <w:rsid w:val="2BB4516F"/>
    <w:rsid w:val="2C3631D1"/>
    <w:rsid w:val="2CA438FD"/>
    <w:rsid w:val="2CEB696E"/>
    <w:rsid w:val="2D095047"/>
    <w:rsid w:val="2D0A03AC"/>
    <w:rsid w:val="2D1B54CB"/>
    <w:rsid w:val="2D8F379E"/>
    <w:rsid w:val="2E0D7E7C"/>
    <w:rsid w:val="2E334A71"/>
    <w:rsid w:val="2E5C3FC8"/>
    <w:rsid w:val="2E634E14"/>
    <w:rsid w:val="2E8D60F4"/>
    <w:rsid w:val="2E9D7CDC"/>
    <w:rsid w:val="2EAA26DC"/>
    <w:rsid w:val="2F1C72B3"/>
    <w:rsid w:val="2F341512"/>
    <w:rsid w:val="2F521EE4"/>
    <w:rsid w:val="2FA01C92"/>
    <w:rsid w:val="2FDD4C94"/>
    <w:rsid w:val="2FFE540C"/>
    <w:rsid w:val="3014133F"/>
    <w:rsid w:val="305525ED"/>
    <w:rsid w:val="308330E7"/>
    <w:rsid w:val="30901D07"/>
    <w:rsid w:val="30AA6639"/>
    <w:rsid w:val="310E0E7D"/>
    <w:rsid w:val="310F3573"/>
    <w:rsid w:val="313528AE"/>
    <w:rsid w:val="3179279B"/>
    <w:rsid w:val="31800540"/>
    <w:rsid w:val="31992E3D"/>
    <w:rsid w:val="31BE4652"/>
    <w:rsid w:val="31CF685F"/>
    <w:rsid w:val="31DD5420"/>
    <w:rsid w:val="31DE6AA2"/>
    <w:rsid w:val="31F6203D"/>
    <w:rsid w:val="32FC3D8A"/>
    <w:rsid w:val="33292AF7"/>
    <w:rsid w:val="33804C89"/>
    <w:rsid w:val="338E3564"/>
    <w:rsid w:val="33D068BE"/>
    <w:rsid w:val="33D47DB7"/>
    <w:rsid w:val="340B78F6"/>
    <w:rsid w:val="342C61EA"/>
    <w:rsid w:val="345E211C"/>
    <w:rsid w:val="34A00986"/>
    <w:rsid w:val="34AE3328"/>
    <w:rsid w:val="350A2BF5"/>
    <w:rsid w:val="35323BB4"/>
    <w:rsid w:val="35AF34BD"/>
    <w:rsid w:val="36293734"/>
    <w:rsid w:val="36470530"/>
    <w:rsid w:val="36AC716F"/>
    <w:rsid w:val="375C0B95"/>
    <w:rsid w:val="378B76CC"/>
    <w:rsid w:val="37920A5A"/>
    <w:rsid w:val="37C83BAE"/>
    <w:rsid w:val="37C86E8B"/>
    <w:rsid w:val="37EB1A92"/>
    <w:rsid w:val="37FE1A21"/>
    <w:rsid w:val="38271103"/>
    <w:rsid w:val="383A06A3"/>
    <w:rsid w:val="3848736B"/>
    <w:rsid w:val="384D2BD3"/>
    <w:rsid w:val="386A108F"/>
    <w:rsid w:val="38AD71CE"/>
    <w:rsid w:val="38B44A00"/>
    <w:rsid w:val="38B62526"/>
    <w:rsid w:val="38BB7B3D"/>
    <w:rsid w:val="392313D2"/>
    <w:rsid w:val="39311BAD"/>
    <w:rsid w:val="39567866"/>
    <w:rsid w:val="39A93E39"/>
    <w:rsid w:val="39E66E3B"/>
    <w:rsid w:val="39E81904"/>
    <w:rsid w:val="3A053765"/>
    <w:rsid w:val="3A1E0383"/>
    <w:rsid w:val="3A6406C8"/>
    <w:rsid w:val="3B1D1B8F"/>
    <w:rsid w:val="3B2E0A9A"/>
    <w:rsid w:val="3B40257B"/>
    <w:rsid w:val="3B712735"/>
    <w:rsid w:val="3B77635E"/>
    <w:rsid w:val="3BBD597A"/>
    <w:rsid w:val="3BD17EEB"/>
    <w:rsid w:val="3BE96786"/>
    <w:rsid w:val="3BF515B8"/>
    <w:rsid w:val="3BFB2E1A"/>
    <w:rsid w:val="3C2B4041"/>
    <w:rsid w:val="3C3C0F95"/>
    <w:rsid w:val="3C821461"/>
    <w:rsid w:val="3CAA4DEA"/>
    <w:rsid w:val="3CDC62D4"/>
    <w:rsid w:val="3D71671D"/>
    <w:rsid w:val="3D8B21D4"/>
    <w:rsid w:val="3DA74B34"/>
    <w:rsid w:val="3E0E4BB3"/>
    <w:rsid w:val="3E454A33"/>
    <w:rsid w:val="3E4E4FAF"/>
    <w:rsid w:val="3E644496"/>
    <w:rsid w:val="3E7C7D6E"/>
    <w:rsid w:val="3EBF1A09"/>
    <w:rsid w:val="3ECB1DC0"/>
    <w:rsid w:val="3EDE4585"/>
    <w:rsid w:val="3F6525B0"/>
    <w:rsid w:val="3F823162"/>
    <w:rsid w:val="3FB43109"/>
    <w:rsid w:val="3FE200A5"/>
    <w:rsid w:val="409C46F8"/>
    <w:rsid w:val="40A21854"/>
    <w:rsid w:val="40B641F5"/>
    <w:rsid w:val="40C25253"/>
    <w:rsid w:val="40E53CCE"/>
    <w:rsid w:val="40F41E3F"/>
    <w:rsid w:val="412D5350"/>
    <w:rsid w:val="4151103E"/>
    <w:rsid w:val="41716E2D"/>
    <w:rsid w:val="41B11ADD"/>
    <w:rsid w:val="41B24CC0"/>
    <w:rsid w:val="42022339"/>
    <w:rsid w:val="42075BA1"/>
    <w:rsid w:val="422624CB"/>
    <w:rsid w:val="423B3A9C"/>
    <w:rsid w:val="42424E2B"/>
    <w:rsid w:val="428617AE"/>
    <w:rsid w:val="429851E4"/>
    <w:rsid w:val="42CA554C"/>
    <w:rsid w:val="42D918E9"/>
    <w:rsid w:val="42DD6902"/>
    <w:rsid w:val="42ED204F"/>
    <w:rsid w:val="43014CE6"/>
    <w:rsid w:val="4329067F"/>
    <w:rsid w:val="437C436D"/>
    <w:rsid w:val="43D51A50"/>
    <w:rsid w:val="44673ED6"/>
    <w:rsid w:val="4470784E"/>
    <w:rsid w:val="44D97CC8"/>
    <w:rsid w:val="44DD1793"/>
    <w:rsid w:val="45244CBC"/>
    <w:rsid w:val="459574DA"/>
    <w:rsid w:val="459C0CF6"/>
    <w:rsid w:val="45D40490"/>
    <w:rsid w:val="45D9574B"/>
    <w:rsid w:val="461B7E6D"/>
    <w:rsid w:val="461D762E"/>
    <w:rsid w:val="46233218"/>
    <w:rsid w:val="464B69A4"/>
    <w:rsid w:val="46511AE0"/>
    <w:rsid w:val="467326D1"/>
    <w:rsid w:val="46774C27"/>
    <w:rsid w:val="46B502C1"/>
    <w:rsid w:val="47563555"/>
    <w:rsid w:val="475D213E"/>
    <w:rsid w:val="47947ED7"/>
    <w:rsid w:val="481B4154"/>
    <w:rsid w:val="4873212D"/>
    <w:rsid w:val="489847BD"/>
    <w:rsid w:val="495C2C76"/>
    <w:rsid w:val="49865F45"/>
    <w:rsid w:val="499E6DEB"/>
    <w:rsid w:val="49A052CA"/>
    <w:rsid w:val="49C02EB0"/>
    <w:rsid w:val="49C10D2B"/>
    <w:rsid w:val="49C979E4"/>
    <w:rsid w:val="49E07403"/>
    <w:rsid w:val="49E30CA1"/>
    <w:rsid w:val="4A07310E"/>
    <w:rsid w:val="4A1C21E5"/>
    <w:rsid w:val="4A233B27"/>
    <w:rsid w:val="4A6A481A"/>
    <w:rsid w:val="4A761440"/>
    <w:rsid w:val="4AAE12AF"/>
    <w:rsid w:val="4AEC002A"/>
    <w:rsid w:val="4AEE3DA2"/>
    <w:rsid w:val="4B2504C2"/>
    <w:rsid w:val="4B8F7333"/>
    <w:rsid w:val="4B92297F"/>
    <w:rsid w:val="4C03562B"/>
    <w:rsid w:val="4CD96BB3"/>
    <w:rsid w:val="4CE865CF"/>
    <w:rsid w:val="4D6640C3"/>
    <w:rsid w:val="4D8C33FE"/>
    <w:rsid w:val="4D926C66"/>
    <w:rsid w:val="4DA97C06"/>
    <w:rsid w:val="4DB175B2"/>
    <w:rsid w:val="4DD0778F"/>
    <w:rsid w:val="4DDD3C5A"/>
    <w:rsid w:val="4E54216E"/>
    <w:rsid w:val="4E5F4B1F"/>
    <w:rsid w:val="4E983058"/>
    <w:rsid w:val="4EA36C51"/>
    <w:rsid w:val="4EA66BE5"/>
    <w:rsid w:val="4F1C7D8A"/>
    <w:rsid w:val="4F4977F9"/>
    <w:rsid w:val="4FE62232"/>
    <w:rsid w:val="4FFA718B"/>
    <w:rsid w:val="507765E7"/>
    <w:rsid w:val="508D5E0B"/>
    <w:rsid w:val="50F97112"/>
    <w:rsid w:val="50FD6AED"/>
    <w:rsid w:val="51204589"/>
    <w:rsid w:val="51510BE7"/>
    <w:rsid w:val="517843C5"/>
    <w:rsid w:val="51AE5B13"/>
    <w:rsid w:val="52097925"/>
    <w:rsid w:val="522E0F28"/>
    <w:rsid w:val="52707546"/>
    <w:rsid w:val="52835444"/>
    <w:rsid w:val="52E7426A"/>
    <w:rsid w:val="53053611"/>
    <w:rsid w:val="530D621A"/>
    <w:rsid w:val="533662E6"/>
    <w:rsid w:val="534722A1"/>
    <w:rsid w:val="536B615E"/>
    <w:rsid w:val="53F561A1"/>
    <w:rsid w:val="541C54DC"/>
    <w:rsid w:val="54302D35"/>
    <w:rsid w:val="54556C40"/>
    <w:rsid w:val="54813591"/>
    <w:rsid w:val="548968E9"/>
    <w:rsid w:val="549C486F"/>
    <w:rsid w:val="550F6DEF"/>
    <w:rsid w:val="552F56E3"/>
    <w:rsid w:val="554967A4"/>
    <w:rsid w:val="5571089A"/>
    <w:rsid w:val="55766E6E"/>
    <w:rsid w:val="55F81F79"/>
    <w:rsid w:val="5638462A"/>
    <w:rsid w:val="56674A08"/>
    <w:rsid w:val="567535C9"/>
    <w:rsid w:val="56A321AA"/>
    <w:rsid w:val="56AF475B"/>
    <w:rsid w:val="56CE2BC7"/>
    <w:rsid w:val="56DA49D6"/>
    <w:rsid w:val="56E12A0D"/>
    <w:rsid w:val="56E16569"/>
    <w:rsid w:val="570603AC"/>
    <w:rsid w:val="57160908"/>
    <w:rsid w:val="572F6273"/>
    <w:rsid w:val="57B36157"/>
    <w:rsid w:val="57DD4F8F"/>
    <w:rsid w:val="57E608EA"/>
    <w:rsid w:val="582D356D"/>
    <w:rsid w:val="5846521D"/>
    <w:rsid w:val="58535244"/>
    <w:rsid w:val="58845D45"/>
    <w:rsid w:val="588B2C30"/>
    <w:rsid w:val="58B73A25"/>
    <w:rsid w:val="58D81BED"/>
    <w:rsid w:val="58E719AA"/>
    <w:rsid w:val="59254E33"/>
    <w:rsid w:val="59545718"/>
    <w:rsid w:val="596040BD"/>
    <w:rsid w:val="59B61F2F"/>
    <w:rsid w:val="59F505E6"/>
    <w:rsid w:val="5A01481F"/>
    <w:rsid w:val="5A455F3F"/>
    <w:rsid w:val="5A5654C0"/>
    <w:rsid w:val="5ABF12E7"/>
    <w:rsid w:val="5AD20FEA"/>
    <w:rsid w:val="5AE40D1D"/>
    <w:rsid w:val="5AEE1E99"/>
    <w:rsid w:val="5AF46068"/>
    <w:rsid w:val="5B1038C0"/>
    <w:rsid w:val="5B7F30A1"/>
    <w:rsid w:val="5B896BA0"/>
    <w:rsid w:val="5B8E7730"/>
    <w:rsid w:val="5BD3284D"/>
    <w:rsid w:val="5BEF1728"/>
    <w:rsid w:val="5C735EB5"/>
    <w:rsid w:val="5C9806E8"/>
    <w:rsid w:val="5CCF4C97"/>
    <w:rsid w:val="5D35760E"/>
    <w:rsid w:val="5D5D08DC"/>
    <w:rsid w:val="5DD972C0"/>
    <w:rsid w:val="5DE32EE5"/>
    <w:rsid w:val="5E4915C3"/>
    <w:rsid w:val="5E5B169A"/>
    <w:rsid w:val="5E6947A7"/>
    <w:rsid w:val="5E9F5041"/>
    <w:rsid w:val="5EA44A4C"/>
    <w:rsid w:val="5EAD45BD"/>
    <w:rsid w:val="5ED768F5"/>
    <w:rsid w:val="5F120056"/>
    <w:rsid w:val="5F135E09"/>
    <w:rsid w:val="5F700DD2"/>
    <w:rsid w:val="5F7F1015"/>
    <w:rsid w:val="5F954394"/>
    <w:rsid w:val="5FD21144"/>
    <w:rsid w:val="5FF55E14"/>
    <w:rsid w:val="5FFC08B7"/>
    <w:rsid w:val="604D2EC1"/>
    <w:rsid w:val="60AA6D0A"/>
    <w:rsid w:val="612260FC"/>
    <w:rsid w:val="61253A6A"/>
    <w:rsid w:val="613C377A"/>
    <w:rsid w:val="618B3CA1"/>
    <w:rsid w:val="61CD250B"/>
    <w:rsid w:val="623808AD"/>
    <w:rsid w:val="62894684"/>
    <w:rsid w:val="629C01B8"/>
    <w:rsid w:val="62B861F8"/>
    <w:rsid w:val="62CA07F9"/>
    <w:rsid w:val="633C4FC0"/>
    <w:rsid w:val="635822A8"/>
    <w:rsid w:val="637F3391"/>
    <w:rsid w:val="638C3D00"/>
    <w:rsid w:val="63A31776"/>
    <w:rsid w:val="63A3488C"/>
    <w:rsid w:val="63C35B10"/>
    <w:rsid w:val="63D20EE7"/>
    <w:rsid w:val="63F26FEB"/>
    <w:rsid w:val="63FD2B96"/>
    <w:rsid w:val="643122CA"/>
    <w:rsid w:val="64346872"/>
    <w:rsid w:val="64456656"/>
    <w:rsid w:val="646709F5"/>
    <w:rsid w:val="646E398F"/>
    <w:rsid w:val="64A137DB"/>
    <w:rsid w:val="64B362EE"/>
    <w:rsid w:val="65162580"/>
    <w:rsid w:val="65286D86"/>
    <w:rsid w:val="65384140"/>
    <w:rsid w:val="654C1999"/>
    <w:rsid w:val="6598698C"/>
    <w:rsid w:val="65BA5CC0"/>
    <w:rsid w:val="65F22540"/>
    <w:rsid w:val="66124991"/>
    <w:rsid w:val="6635676B"/>
    <w:rsid w:val="66754F1F"/>
    <w:rsid w:val="667914DD"/>
    <w:rsid w:val="66D257BF"/>
    <w:rsid w:val="66D25ECE"/>
    <w:rsid w:val="66D6776C"/>
    <w:rsid w:val="66EF082E"/>
    <w:rsid w:val="67C27F11"/>
    <w:rsid w:val="68055787"/>
    <w:rsid w:val="681B4303"/>
    <w:rsid w:val="6848469A"/>
    <w:rsid w:val="6879548D"/>
    <w:rsid w:val="68BF195F"/>
    <w:rsid w:val="68DE6A2D"/>
    <w:rsid w:val="68E905AE"/>
    <w:rsid w:val="68EC771B"/>
    <w:rsid w:val="69890ED0"/>
    <w:rsid w:val="69DA5576"/>
    <w:rsid w:val="69FF6FDA"/>
    <w:rsid w:val="6A062E71"/>
    <w:rsid w:val="6A7120F5"/>
    <w:rsid w:val="6A7554EE"/>
    <w:rsid w:val="6AAE305F"/>
    <w:rsid w:val="6AB9187F"/>
    <w:rsid w:val="6B4362D9"/>
    <w:rsid w:val="6B633598"/>
    <w:rsid w:val="6B8C01BB"/>
    <w:rsid w:val="6BC32AD7"/>
    <w:rsid w:val="6BDD1D85"/>
    <w:rsid w:val="6BF15048"/>
    <w:rsid w:val="6C044D7B"/>
    <w:rsid w:val="6C6E4485"/>
    <w:rsid w:val="6C89533F"/>
    <w:rsid w:val="6C9E5978"/>
    <w:rsid w:val="6CA36342"/>
    <w:rsid w:val="6D10108A"/>
    <w:rsid w:val="6DB14A8F"/>
    <w:rsid w:val="6E2A3D91"/>
    <w:rsid w:val="6E2A65EF"/>
    <w:rsid w:val="6E441BB7"/>
    <w:rsid w:val="6E445903"/>
    <w:rsid w:val="6EAD16FA"/>
    <w:rsid w:val="6EE36ECA"/>
    <w:rsid w:val="6F176B74"/>
    <w:rsid w:val="6F4126F9"/>
    <w:rsid w:val="6F451933"/>
    <w:rsid w:val="6F4D4C8B"/>
    <w:rsid w:val="6F4E73A0"/>
    <w:rsid w:val="6F691A22"/>
    <w:rsid w:val="6F897415"/>
    <w:rsid w:val="6FAD1286"/>
    <w:rsid w:val="6FBD5CC3"/>
    <w:rsid w:val="702552C0"/>
    <w:rsid w:val="7073427E"/>
    <w:rsid w:val="70B372E3"/>
    <w:rsid w:val="70DE2439"/>
    <w:rsid w:val="714D7B6D"/>
    <w:rsid w:val="71520337"/>
    <w:rsid w:val="71614A1E"/>
    <w:rsid w:val="71844269"/>
    <w:rsid w:val="71AA0173"/>
    <w:rsid w:val="71BC7EA6"/>
    <w:rsid w:val="71C053D4"/>
    <w:rsid w:val="71F413EE"/>
    <w:rsid w:val="71FB47DA"/>
    <w:rsid w:val="72062ED0"/>
    <w:rsid w:val="72402885"/>
    <w:rsid w:val="72563E57"/>
    <w:rsid w:val="727B1B10"/>
    <w:rsid w:val="72F247EE"/>
    <w:rsid w:val="731A4E85"/>
    <w:rsid w:val="735D447B"/>
    <w:rsid w:val="73FB6122"/>
    <w:rsid w:val="742F4960"/>
    <w:rsid w:val="743D52CE"/>
    <w:rsid w:val="747D56CB"/>
    <w:rsid w:val="74B86703"/>
    <w:rsid w:val="74EC388F"/>
    <w:rsid w:val="74F074F0"/>
    <w:rsid w:val="74F81544"/>
    <w:rsid w:val="75047B9A"/>
    <w:rsid w:val="750E6C6B"/>
    <w:rsid w:val="75581C94"/>
    <w:rsid w:val="75930F1E"/>
    <w:rsid w:val="75AD1FE0"/>
    <w:rsid w:val="763C15B6"/>
    <w:rsid w:val="763C5112"/>
    <w:rsid w:val="765C57B4"/>
    <w:rsid w:val="766D79C1"/>
    <w:rsid w:val="769B008A"/>
    <w:rsid w:val="76B63116"/>
    <w:rsid w:val="772462D2"/>
    <w:rsid w:val="778867B5"/>
    <w:rsid w:val="77AE203F"/>
    <w:rsid w:val="77CB2EBB"/>
    <w:rsid w:val="780B56E4"/>
    <w:rsid w:val="78146346"/>
    <w:rsid w:val="78810750"/>
    <w:rsid w:val="7925770F"/>
    <w:rsid w:val="793D367B"/>
    <w:rsid w:val="796E1A86"/>
    <w:rsid w:val="799B65F3"/>
    <w:rsid w:val="79AC0800"/>
    <w:rsid w:val="79DC7338"/>
    <w:rsid w:val="79F60DA7"/>
    <w:rsid w:val="7A1E34E6"/>
    <w:rsid w:val="7AA02113"/>
    <w:rsid w:val="7ACF0C4A"/>
    <w:rsid w:val="7B272834"/>
    <w:rsid w:val="7B53416A"/>
    <w:rsid w:val="7B5760B5"/>
    <w:rsid w:val="7B6E7267"/>
    <w:rsid w:val="7B7C2152"/>
    <w:rsid w:val="7B893F79"/>
    <w:rsid w:val="7C0E03B2"/>
    <w:rsid w:val="7C1548EA"/>
    <w:rsid w:val="7C6275B5"/>
    <w:rsid w:val="7CAA54CB"/>
    <w:rsid w:val="7CC346B4"/>
    <w:rsid w:val="7CD95DB0"/>
    <w:rsid w:val="7D364BF5"/>
    <w:rsid w:val="7D384885"/>
    <w:rsid w:val="7DBE695B"/>
    <w:rsid w:val="7DF52776"/>
    <w:rsid w:val="7E41159D"/>
    <w:rsid w:val="7E5A73D2"/>
    <w:rsid w:val="7EB77A2B"/>
    <w:rsid w:val="7EE714AC"/>
    <w:rsid w:val="7F21100E"/>
    <w:rsid w:val="7F5A2F41"/>
    <w:rsid w:val="7FFEE5E7"/>
    <w:rsid w:val="ABD69A72"/>
    <w:rsid w:val="AF053784"/>
    <w:rsid w:val="B3B9DE65"/>
    <w:rsid w:val="BAFB0316"/>
    <w:rsid w:val="BF9D5CE2"/>
    <w:rsid w:val="CCDB5110"/>
    <w:rsid w:val="E7CE6AD5"/>
    <w:rsid w:val="FD77B4E2"/>
    <w:rsid w:val="FED7E60B"/>
    <w:rsid w:val="FEEF8A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1"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iPriority="99"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autoRedefine/>
    <w:qFormat/>
    <w:uiPriority w:val="1"/>
    <w:pPr>
      <w:ind w:left="731"/>
      <w:outlineLvl w:val="1"/>
    </w:pPr>
    <w:rPr>
      <w:rFonts w:ascii="宋体" w:hAnsi="宋体" w:eastAsia="宋体"/>
      <w:b/>
      <w:bCs/>
      <w:sz w:val="24"/>
    </w:rPr>
  </w:style>
  <w:style w:type="paragraph" w:styleId="4">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5">
    <w:name w:val="heading 5"/>
    <w:basedOn w:val="1"/>
    <w:next w:val="1"/>
    <w:autoRedefine/>
    <w:qFormat/>
    <w:uiPriority w:val="0"/>
    <w:pPr>
      <w:keepNext/>
      <w:keepLines/>
      <w:snapToGrid w:val="0"/>
      <w:spacing w:before="120" w:after="120"/>
      <w:outlineLvl w:val="4"/>
    </w:pPr>
    <w:rPr>
      <w:rFonts w:eastAsia="楷体_GB2312"/>
      <w:b/>
      <w:bCs/>
      <w:kern w:val="0"/>
      <w:sz w:val="28"/>
      <w:szCs w:val="28"/>
    </w:rPr>
  </w:style>
  <w:style w:type="paragraph" w:styleId="6">
    <w:name w:val="heading 7"/>
    <w:basedOn w:val="1"/>
    <w:next w:val="1"/>
    <w:autoRedefine/>
    <w:qFormat/>
    <w:uiPriority w:val="0"/>
    <w:pPr>
      <w:keepNext/>
      <w:keepLines/>
      <w:spacing w:before="240" w:after="64" w:line="320" w:lineRule="auto"/>
      <w:outlineLvl w:val="6"/>
    </w:pPr>
    <w:rPr>
      <w:b/>
      <w:bCs/>
      <w:sz w:val="24"/>
    </w:rPr>
  </w:style>
  <w:style w:type="character" w:default="1" w:styleId="37">
    <w:name w:val="Default Paragraph Font"/>
    <w:autoRedefine/>
    <w:semiHidden/>
    <w:unhideWhenUsed/>
    <w:qFormat/>
    <w:uiPriority w:val="1"/>
  </w:style>
  <w:style w:type="table" w:default="1" w:styleId="35">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List 3"/>
    <w:basedOn w:val="1"/>
    <w:next w:val="1"/>
    <w:autoRedefine/>
    <w:qFormat/>
    <w:uiPriority w:val="0"/>
    <w:pPr>
      <w:ind w:left="100" w:leftChars="400" w:hanging="200" w:hangingChars="200"/>
    </w:pPr>
  </w:style>
  <w:style w:type="paragraph" w:styleId="8">
    <w:name w:val="E-mail Signature"/>
    <w:basedOn w:val="1"/>
    <w:next w:val="9"/>
    <w:unhideWhenUsed/>
    <w:qFormat/>
    <w:uiPriority w:val="99"/>
    <w:pPr>
      <w:spacing w:line="460" w:lineRule="exact"/>
      <w:ind w:firstLine="200"/>
    </w:pPr>
    <w:rPr>
      <w:rFonts w:ascii="Times New Roman" w:hAnsi="Times New Roman" w:cs="Times New Roman"/>
    </w:rPr>
  </w:style>
  <w:style w:type="paragraph" w:customStyle="1" w:styleId="9">
    <w:name w:val="文章"/>
    <w:basedOn w:val="10"/>
    <w:next w:val="14"/>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10">
    <w:name w:val="Body Text Indent"/>
    <w:basedOn w:val="1"/>
    <w:next w:val="11"/>
    <w:autoRedefine/>
    <w:qFormat/>
    <w:uiPriority w:val="0"/>
    <w:pPr>
      <w:spacing w:after="120"/>
      <w:ind w:left="420" w:leftChars="200"/>
    </w:pPr>
    <w:rPr>
      <w:rFonts w:cs="Times New Roman"/>
      <w:kern w:val="0"/>
      <w:sz w:val="24"/>
      <w:szCs w:val="20"/>
    </w:rPr>
  </w:style>
  <w:style w:type="paragraph" w:styleId="11">
    <w:name w:val="Body Text Indent 2"/>
    <w:basedOn w:val="1"/>
    <w:next w:val="12"/>
    <w:autoRedefine/>
    <w:qFormat/>
    <w:uiPriority w:val="0"/>
    <w:pPr>
      <w:spacing w:line="360" w:lineRule="auto"/>
      <w:ind w:firstLine="560" w:firstLineChars="200"/>
    </w:pPr>
    <w:rPr>
      <w:rFonts w:ascii="Times New Roman" w:hAnsi="宋体" w:eastAsia="宋体" w:cs="Times New Roman"/>
      <w:color w:val="FF0000"/>
      <w:sz w:val="28"/>
      <w:szCs w:val="28"/>
    </w:rPr>
  </w:style>
  <w:style w:type="paragraph" w:customStyle="1" w:styleId="12">
    <w:name w:val="reader-word-layer reader-word-s46-2"/>
    <w:basedOn w:val="1"/>
    <w:next w:val="13"/>
    <w:qFormat/>
    <w:uiPriority w:val="0"/>
    <w:pPr>
      <w:widowControl/>
      <w:spacing w:before="280" w:after="280" w:line="240" w:lineRule="auto"/>
      <w:jc w:val="both"/>
    </w:pPr>
    <w:rPr>
      <w:rFonts w:ascii="宋体"/>
      <w:sz w:val="24"/>
    </w:rPr>
  </w:style>
  <w:style w:type="paragraph" w:customStyle="1" w:styleId="13">
    <w:name w:val="xl35"/>
    <w:basedOn w:val="1"/>
    <w:next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right"/>
    </w:pPr>
    <w:rPr>
      <w:rFonts w:ascii="宋体" w:hAnsi="宋体" w:cs="宋体"/>
      <w:kern w:val="0"/>
      <w:sz w:val="24"/>
    </w:rPr>
  </w:style>
  <w:style w:type="paragraph" w:styleId="14">
    <w:name w:val="List"/>
    <w:basedOn w:val="1"/>
    <w:next w:val="15"/>
    <w:autoRedefine/>
    <w:qFormat/>
    <w:uiPriority w:val="0"/>
    <w:pPr>
      <w:ind w:left="200" w:hanging="200" w:hangingChars="200"/>
    </w:pPr>
    <w:rPr>
      <w:rFonts w:ascii="Times New Roman" w:hAnsi="Times New Roman" w:eastAsia="宋体" w:cs="Times New Roman"/>
    </w:rPr>
  </w:style>
  <w:style w:type="paragraph" w:styleId="15">
    <w:name w:val="List Bullet 2"/>
    <w:basedOn w:val="1"/>
    <w:next w:val="16"/>
    <w:autoRedefine/>
    <w:qFormat/>
    <w:uiPriority w:val="0"/>
    <w:pPr>
      <w:numPr>
        <w:ilvl w:val="0"/>
        <w:numId w:val="1"/>
      </w:numPr>
    </w:pPr>
  </w:style>
  <w:style w:type="paragraph" w:customStyle="1" w:styleId="16">
    <w:name w:val="xl70"/>
    <w:basedOn w:val="1"/>
    <w:next w:val="17"/>
    <w:autoRedefine/>
    <w:qFormat/>
    <w:uiPriority w:val="0"/>
    <w:pPr>
      <w:widowControl/>
      <w:spacing w:before="280" w:after="280"/>
    </w:pPr>
    <w:rPr>
      <w:rFonts w:ascii="宋体"/>
    </w:rPr>
  </w:style>
  <w:style w:type="paragraph" w:customStyle="1" w:styleId="17">
    <w:name w:val="正文缩进1"/>
    <w:basedOn w:val="1"/>
    <w:next w:val="18"/>
    <w:autoRedefine/>
    <w:qFormat/>
    <w:uiPriority w:val="0"/>
    <w:pPr>
      <w:ind w:firstLine="420"/>
    </w:pPr>
    <w:rPr>
      <w:sz w:val="28"/>
    </w:rPr>
  </w:style>
  <w:style w:type="paragraph" w:customStyle="1" w:styleId="18">
    <w:name w:val="td1"/>
    <w:basedOn w:val="1"/>
    <w:next w:val="1"/>
    <w:autoRedefine/>
    <w:qFormat/>
    <w:uiPriority w:val="0"/>
    <w:pPr>
      <w:widowControl/>
      <w:spacing w:before="280" w:after="280" w:line="300" w:lineRule="atLeast"/>
      <w:ind w:firstLine="200"/>
    </w:pPr>
    <w:rPr>
      <w:color w:val="000000"/>
      <w:sz w:val="18"/>
    </w:rPr>
  </w:style>
  <w:style w:type="paragraph" w:styleId="19">
    <w:name w:val="Normal Indent"/>
    <w:basedOn w:val="1"/>
    <w:next w:val="1"/>
    <w:autoRedefine/>
    <w:qFormat/>
    <w:uiPriority w:val="0"/>
    <w:pPr>
      <w:adjustRightInd w:val="0"/>
      <w:snapToGrid w:val="0"/>
      <w:spacing w:line="300" w:lineRule="auto"/>
      <w:ind w:firstLine="200" w:firstLineChars="200"/>
    </w:pPr>
    <w:rPr>
      <w:rFonts w:ascii="仿宋_GB2312" w:eastAsia="仿宋_GB2312"/>
      <w:sz w:val="28"/>
    </w:rPr>
  </w:style>
  <w:style w:type="paragraph" w:styleId="20">
    <w:name w:val="caption"/>
    <w:basedOn w:val="1"/>
    <w:next w:val="1"/>
    <w:autoRedefine/>
    <w:qFormat/>
    <w:uiPriority w:val="0"/>
    <w:rPr>
      <w:rFonts w:ascii="Arial" w:hAnsi="Arial" w:eastAsia="黑体" w:cs="Arial"/>
      <w:sz w:val="20"/>
      <w:szCs w:val="20"/>
    </w:rPr>
  </w:style>
  <w:style w:type="paragraph" w:styleId="21">
    <w:name w:val="annotation text"/>
    <w:basedOn w:val="1"/>
    <w:link w:val="87"/>
    <w:autoRedefine/>
    <w:semiHidden/>
    <w:qFormat/>
    <w:uiPriority w:val="0"/>
    <w:pPr>
      <w:jc w:val="left"/>
    </w:pPr>
    <w:rPr>
      <w:rFonts w:cs="Times New Roman"/>
      <w:kern w:val="0"/>
      <w:sz w:val="24"/>
      <w:szCs w:val="20"/>
    </w:rPr>
  </w:style>
  <w:style w:type="paragraph" w:styleId="22">
    <w:name w:val="Body Text"/>
    <w:basedOn w:val="1"/>
    <w:autoRedefine/>
    <w:qFormat/>
    <w:uiPriority w:val="0"/>
    <w:pPr>
      <w:widowControl/>
      <w:snapToGrid w:val="0"/>
      <w:spacing w:before="60" w:after="160" w:line="259" w:lineRule="auto"/>
      <w:ind w:right="113"/>
    </w:pPr>
    <w:rPr>
      <w:rFonts w:cs="Times New Roman"/>
      <w:kern w:val="0"/>
      <w:sz w:val="18"/>
      <w:szCs w:val="20"/>
    </w:rPr>
  </w:style>
  <w:style w:type="paragraph" w:styleId="23">
    <w:name w:val="toc 5"/>
    <w:basedOn w:val="1"/>
    <w:next w:val="1"/>
    <w:autoRedefine/>
    <w:qFormat/>
    <w:uiPriority w:val="39"/>
    <w:pPr>
      <w:adjustRightInd w:val="0"/>
      <w:snapToGrid w:val="0"/>
      <w:spacing w:line="360" w:lineRule="auto"/>
      <w:ind w:left="960" w:firstLine="200" w:firstLineChars="200"/>
      <w:jc w:val="left"/>
    </w:pPr>
    <w:rPr>
      <w:rFonts w:eastAsia="仿宋_GB2312" w:cs="Calibri"/>
      <w:sz w:val="18"/>
      <w:szCs w:val="18"/>
    </w:rPr>
  </w:style>
  <w:style w:type="paragraph" w:styleId="24">
    <w:name w:val="Plain Text"/>
    <w:basedOn w:val="1"/>
    <w:next w:val="1"/>
    <w:autoRedefine/>
    <w:qFormat/>
    <w:uiPriority w:val="0"/>
    <w:rPr>
      <w:rFonts w:ascii="宋体" w:hAnsi="Courier New" w:cs="宋体"/>
      <w:sz w:val="28"/>
      <w:szCs w:val="21"/>
    </w:rPr>
  </w:style>
  <w:style w:type="paragraph" w:styleId="25">
    <w:name w:val="Balloon Text"/>
    <w:basedOn w:val="1"/>
    <w:link w:val="89"/>
    <w:autoRedefine/>
    <w:qFormat/>
    <w:uiPriority w:val="0"/>
    <w:rPr>
      <w:sz w:val="18"/>
      <w:szCs w:val="18"/>
    </w:rPr>
  </w:style>
  <w:style w:type="paragraph" w:styleId="26">
    <w:name w:val="footer"/>
    <w:basedOn w:val="1"/>
    <w:autoRedefine/>
    <w:qFormat/>
    <w:uiPriority w:val="99"/>
    <w:pPr>
      <w:tabs>
        <w:tab w:val="center" w:pos="4153"/>
        <w:tab w:val="right" w:pos="8306"/>
      </w:tabs>
      <w:snapToGrid w:val="0"/>
      <w:jc w:val="left"/>
    </w:pPr>
    <w:rPr>
      <w:rFonts w:cs="Times New Roman"/>
      <w:kern w:val="0"/>
      <w:sz w:val="18"/>
      <w:szCs w:val="20"/>
    </w:rPr>
  </w:style>
  <w:style w:type="paragraph" w:styleId="27">
    <w:name w:val="header"/>
    <w:basedOn w:val="1"/>
    <w:autoRedefine/>
    <w:qFormat/>
    <w:uiPriority w:val="0"/>
    <w:pPr>
      <w:pBdr>
        <w:bottom w:val="single" w:color="auto" w:sz="6" w:space="1"/>
      </w:pBdr>
      <w:tabs>
        <w:tab w:val="center" w:pos="4153"/>
        <w:tab w:val="right" w:pos="8306"/>
      </w:tabs>
      <w:adjustRightInd w:val="0"/>
      <w:spacing w:line="240" w:lineRule="atLeast"/>
      <w:jc w:val="center"/>
      <w:textAlignment w:val="baseline"/>
    </w:pPr>
    <w:rPr>
      <w:kern w:val="0"/>
      <w:sz w:val="18"/>
    </w:rPr>
  </w:style>
  <w:style w:type="paragraph" w:styleId="28">
    <w:name w:val="toc 1"/>
    <w:basedOn w:val="1"/>
    <w:next w:val="1"/>
    <w:autoRedefine/>
    <w:qFormat/>
    <w:uiPriority w:val="0"/>
  </w:style>
  <w:style w:type="paragraph" w:styleId="29">
    <w:name w:val="Subtitle"/>
    <w:basedOn w:val="1"/>
    <w:next w:val="1"/>
    <w:autoRedefine/>
    <w:qFormat/>
    <w:uiPriority w:val="11"/>
    <w:pPr>
      <w:jc w:val="center"/>
    </w:pPr>
    <w:rPr>
      <w:b/>
    </w:rPr>
  </w:style>
  <w:style w:type="paragraph" w:styleId="30">
    <w:name w:val="toc 2"/>
    <w:basedOn w:val="1"/>
    <w:next w:val="8"/>
    <w:autoRedefine/>
    <w:qFormat/>
    <w:uiPriority w:val="39"/>
    <w:pPr>
      <w:ind w:left="420" w:leftChars="200"/>
    </w:pPr>
  </w:style>
  <w:style w:type="paragraph" w:styleId="31">
    <w:name w:val="Normal (Web)"/>
    <w:basedOn w:val="1"/>
    <w:autoRedefine/>
    <w:qFormat/>
    <w:uiPriority w:val="0"/>
    <w:pPr>
      <w:widowControl/>
      <w:spacing w:before="100" w:beforeAutospacing="1" w:after="100" w:afterAutospacing="1"/>
      <w:jc w:val="left"/>
    </w:pPr>
    <w:rPr>
      <w:rFonts w:ascii="宋体" w:hAnsi="宋体" w:cs="Times New Roman"/>
      <w:kern w:val="0"/>
      <w:sz w:val="24"/>
      <w:szCs w:val="20"/>
    </w:rPr>
  </w:style>
  <w:style w:type="paragraph" w:styleId="32">
    <w:name w:val="annotation subject"/>
    <w:basedOn w:val="21"/>
    <w:next w:val="21"/>
    <w:link w:val="88"/>
    <w:autoRedefine/>
    <w:qFormat/>
    <w:uiPriority w:val="0"/>
    <w:rPr>
      <w:rFonts w:cstheme="minorBidi"/>
      <w:b/>
      <w:bCs/>
      <w:kern w:val="2"/>
      <w:sz w:val="21"/>
      <w:szCs w:val="24"/>
    </w:rPr>
  </w:style>
  <w:style w:type="paragraph" w:styleId="33">
    <w:name w:val="Body Text First Indent"/>
    <w:basedOn w:val="22"/>
    <w:autoRedefine/>
    <w:qFormat/>
    <w:uiPriority w:val="0"/>
    <w:pPr>
      <w:spacing w:after="120" w:line="240" w:lineRule="auto"/>
      <w:ind w:firstLine="420" w:firstLineChars="100"/>
    </w:pPr>
    <w:rPr>
      <w:sz w:val="21"/>
    </w:rPr>
  </w:style>
  <w:style w:type="paragraph" w:styleId="34">
    <w:name w:val="Body Text First Indent 2"/>
    <w:basedOn w:val="10"/>
    <w:next w:val="1"/>
    <w:autoRedefine/>
    <w:qFormat/>
    <w:uiPriority w:val="0"/>
    <w:pPr>
      <w:ind w:firstLine="420" w:firstLineChars="200"/>
    </w:pPr>
  </w:style>
  <w:style w:type="table" w:styleId="36">
    <w:name w:val="Table Grid"/>
    <w:basedOn w:val="3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38">
    <w:name w:val="Strong"/>
    <w:basedOn w:val="37"/>
    <w:autoRedefine/>
    <w:qFormat/>
    <w:uiPriority w:val="0"/>
    <w:rPr>
      <w:b/>
    </w:rPr>
  </w:style>
  <w:style w:type="character" w:styleId="39">
    <w:name w:val="page number"/>
    <w:basedOn w:val="37"/>
    <w:autoRedefine/>
    <w:qFormat/>
    <w:uiPriority w:val="0"/>
  </w:style>
  <w:style w:type="character" w:styleId="40">
    <w:name w:val="Hyperlink"/>
    <w:basedOn w:val="37"/>
    <w:autoRedefine/>
    <w:qFormat/>
    <w:uiPriority w:val="0"/>
    <w:rPr>
      <w:color w:val="0000FF"/>
      <w:u w:val="single"/>
    </w:rPr>
  </w:style>
  <w:style w:type="character" w:styleId="41">
    <w:name w:val="annotation reference"/>
    <w:autoRedefine/>
    <w:semiHidden/>
    <w:qFormat/>
    <w:uiPriority w:val="0"/>
    <w:rPr>
      <w:sz w:val="21"/>
    </w:rPr>
  </w:style>
  <w:style w:type="paragraph" w:customStyle="1" w:styleId="42">
    <w:name w:val="Default"/>
    <w:basedOn w:val="43"/>
    <w:next w:val="44"/>
    <w:autoRedefine/>
    <w:qFormat/>
    <w:uiPriority w:val="0"/>
    <w:pPr>
      <w:autoSpaceDE w:val="0"/>
      <w:autoSpaceDN w:val="0"/>
    </w:pPr>
    <w:rPr>
      <w:rFonts w:cs="宋体" w:hAnsiTheme="minorHAnsi"/>
      <w:color w:val="000000"/>
      <w:sz w:val="24"/>
      <w:szCs w:val="24"/>
    </w:rPr>
  </w:style>
  <w:style w:type="paragraph" w:customStyle="1" w:styleId="43">
    <w:name w:val="纯文本1"/>
    <w:basedOn w:val="1"/>
    <w:next w:val="1"/>
    <w:autoRedefine/>
    <w:qFormat/>
    <w:uiPriority w:val="0"/>
    <w:pPr>
      <w:adjustRightInd w:val="0"/>
    </w:pPr>
    <w:rPr>
      <w:rFonts w:ascii="宋体" w:hAnsi="Courier New"/>
      <w:szCs w:val="20"/>
    </w:rPr>
  </w:style>
  <w:style w:type="paragraph" w:customStyle="1" w:styleId="44">
    <w:name w:val="样式35"/>
    <w:basedOn w:val="45"/>
    <w:next w:val="50"/>
    <w:autoRedefine/>
    <w:qFormat/>
    <w:uiPriority w:val="99"/>
    <w:pPr>
      <w:tabs>
        <w:tab w:val="left" w:pos="0"/>
      </w:tabs>
      <w:ind w:firstLine="1995" w:firstLineChars="950"/>
    </w:pPr>
    <w:rPr>
      <w:rFonts w:ascii="黑体" w:hAnsi="宋体" w:eastAsia="黑体"/>
    </w:rPr>
  </w:style>
  <w:style w:type="paragraph" w:customStyle="1" w:styleId="45">
    <w:name w:val="样式26"/>
    <w:basedOn w:val="46"/>
    <w:autoRedefine/>
    <w:qFormat/>
    <w:uiPriority w:val="0"/>
    <w:pPr>
      <w:tabs>
        <w:tab w:val="left" w:pos="0"/>
      </w:tabs>
      <w:autoSpaceDE w:val="0"/>
      <w:autoSpaceDN w:val="0"/>
      <w:spacing w:line="360" w:lineRule="auto"/>
    </w:pPr>
    <w:rPr>
      <w:color w:val="000000"/>
      <w:szCs w:val="21"/>
    </w:rPr>
  </w:style>
  <w:style w:type="paragraph" w:customStyle="1" w:styleId="46">
    <w:name w:val="样式21"/>
    <w:basedOn w:val="47"/>
    <w:autoRedefine/>
    <w:semiHidden/>
    <w:qFormat/>
    <w:uiPriority w:val="99"/>
    <w:pPr>
      <w:tabs>
        <w:tab w:val="left" w:pos="0"/>
      </w:tabs>
      <w:adjustRightInd w:val="0"/>
      <w:spacing w:line="300" w:lineRule="exact"/>
      <w:textAlignment w:val="baseline"/>
    </w:pPr>
    <w:rPr>
      <w:rFonts w:ascii="Calibri" w:hAnsi="Calibri"/>
      <w:szCs w:val="20"/>
    </w:rPr>
  </w:style>
  <w:style w:type="paragraph" w:customStyle="1" w:styleId="47">
    <w:name w:val="样式5"/>
    <w:basedOn w:val="48"/>
    <w:autoRedefine/>
    <w:qFormat/>
    <w:uiPriority w:val="0"/>
    <w:pPr>
      <w:tabs>
        <w:tab w:val="left" w:pos="0"/>
      </w:tabs>
      <w:snapToGrid w:val="0"/>
      <w:spacing w:afterLines="50" w:line="400" w:lineRule="exact"/>
    </w:pPr>
    <w:rPr>
      <w:rFonts w:ascii="楷体_GB2312" w:hAnsi="宋体" w:eastAsia="楷体_GB2312"/>
      <w:spacing w:val="-4"/>
      <w:kern w:val="0"/>
      <w:sz w:val="28"/>
      <w:szCs w:val="28"/>
    </w:rPr>
  </w:style>
  <w:style w:type="paragraph" w:customStyle="1" w:styleId="48">
    <w:name w:val="样式12"/>
    <w:basedOn w:val="49"/>
    <w:autoRedefine/>
    <w:qFormat/>
    <w:uiPriority w:val="0"/>
    <w:pPr>
      <w:tabs>
        <w:tab w:val="left" w:pos="0"/>
      </w:tabs>
      <w:spacing w:before="280" w:after="290" w:line="376" w:lineRule="auto"/>
      <w:ind w:firstLine="200" w:firstLineChars="200"/>
    </w:pPr>
    <w:rPr>
      <w:rFonts w:eastAsia="宋体"/>
    </w:rPr>
  </w:style>
  <w:style w:type="paragraph" w:customStyle="1" w:styleId="49">
    <w:name w:val="样式17"/>
    <w:basedOn w:val="1"/>
    <w:autoRedefine/>
    <w:qFormat/>
    <w:uiPriority w:val="0"/>
    <w:pPr>
      <w:keepNext/>
      <w:keepLines/>
      <w:tabs>
        <w:tab w:val="left" w:pos="0"/>
      </w:tabs>
      <w:spacing w:beforeLines="50"/>
      <w:outlineLvl w:val="0"/>
    </w:pPr>
    <w:rPr>
      <w:rFonts w:ascii="黑体" w:hAnsi="黑体" w:eastAsia="黑体"/>
      <w:kern w:val="44"/>
      <w:sz w:val="30"/>
      <w:szCs w:val="44"/>
      <w:lang w:val="zh-CN"/>
    </w:rPr>
  </w:style>
  <w:style w:type="paragraph" w:customStyle="1" w:styleId="50">
    <w:name w:val="font6"/>
    <w:basedOn w:val="1"/>
    <w:next w:val="30"/>
    <w:autoRedefine/>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51">
    <w:name w:val="样式 标题 1一级标题 + 段前: 0.5 行 段后: 0.5 行"/>
    <w:basedOn w:val="2"/>
    <w:autoRedefine/>
    <w:qFormat/>
    <w:uiPriority w:val="99"/>
    <w:pPr>
      <w:spacing w:line="320" w:lineRule="exact"/>
      <w:outlineLvl w:val="9"/>
    </w:pPr>
    <w:rPr>
      <w:spacing w:val="-6"/>
      <w:sz w:val="21"/>
      <w:szCs w:val="21"/>
    </w:rPr>
  </w:style>
  <w:style w:type="paragraph" w:customStyle="1" w:styleId="52">
    <w:name w:val="Date1"/>
    <w:basedOn w:val="1"/>
    <w:next w:val="1"/>
    <w:autoRedefine/>
    <w:qFormat/>
    <w:uiPriority w:val="0"/>
    <w:rPr>
      <w:szCs w:val="20"/>
    </w:rPr>
  </w:style>
  <w:style w:type="paragraph" w:customStyle="1" w:styleId="53">
    <w:name w:val="TT正文"/>
    <w:basedOn w:val="1"/>
    <w:link w:val="63"/>
    <w:autoRedefine/>
    <w:qFormat/>
    <w:uiPriority w:val="0"/>
    <w:pPr>
      <w:spacing w:line="360" w:lineRule="auto"/>
      <w:ind w:firstLine="200" w:firstLineChars="200"/>
    </w:pPr>
    <w:rPr>
      <w:rFonts w:cs="Times New Roman"/>
      <w:kern w:val="0"/>
      <w:sz w:val="24"/>
      <w:szCs w:val="20"/>
    </w:rPr>
  </w:style>
  <w:style w:type="paragraph" w:customStyle="1" w:styleId="54">
    <w:name w:val="Table Paragraph"/>
    <w:basedOn w:val="1"/>
    <w:autoRedefine/>
    <w:unhideWhenUsed/>
    <w:qFormat/>
    <w:uiPriority w:val="1"/>
    <w:rPr>
      <w:kern w:val="0"/>
      <w:sz w:val="24"/>
      <w:szCs w:val="20"/>
    </w:rPr>
  </w:style>
  <w:style w:type="paragraph" w:customStyle="1" w:styleId="55">
    <w:name w:val="TT标题"/>
    <w:basedOn w:val="1"/>
    <w:autoRedefine/>
    <w:qFormat/>
    <w:uiPriority w:val="0"/>
    <w:pPr>
      <w:jc w:val="center"/>
    </w:pPr>
    <w:rPr>
      <w:b/>
      <w:sz w:val="24"/>
      <w:szCs w:val="20"/>
    </w:rPr>
  </w:style>
  <w:style w:type="paragraph" w:customStyle="1" w:styleId="56">
    <w:name w:val="正文·"/>
    <w:basedOn w:val="1"/>
    <w:autoRedefine/>
    <w:qFormat/>
    <w:uiPriority w:val="0"/>
    <w:pPr>
      <w:ind w:firstLine="803" w:firstLineChars="200"/>
    </w:pPr>
  </w:style>
  <w:style w:type="paragraph" w:customStyle="1" w:styleId="57">
    <w:name w:val="正文样式"/>
    <w:autoRedefine/>
    <w:qFormat/>
    <w:uiPriority w:val="0"/>
    <w:pPr>
      <w:tabs>
        <w:tab w:val="left" w:pos="630"/>
        <w:tab w:val="left" w:pos="1260"/>
      </w:tabs>
      <w:adjustRightInd w:val="0"/>
      <w:snapToGrid w:val="0"/>
      <w:spacing w:line="360" w:lineRule="auto"/>
      <w:ind w:firstLine="200" w:firstLineChars="200"/>
      <w:jc w:val="both"/>
    </w:pPr>
    <w:rPr>
      <w:rFonts w:ascii="宋体" w:hAnsi="宋体" w:eastAsia="宋体" w:cs="Times New Roman"/>
      <w:snapToGrid w:val="0"/>
      <w:sz w:val="24"/>
      <w:szCs w:val="24"/>
      <w:lang w:val="en-US" w:eastAsia="zh-CN" w:bidi="ar-SA"/>
    </w:rPr>
  </w:style>
  <w:style w:type="paragraph" w:customStyle="1" w:styleId="58">
    <w:name w:val="表头和图示"/>
    <w:basedOn w:val="1"/>
    <w:autoRedefine/>
    <w:qFormat/>
    <w:uiPriority w:val="0"/>
    <w:pPr>
      <w:jc w:val="center"/>
    </w:pPr>
  </w:style>
  <w:style w:type="paragraph" w:customStyle="1" w:styleId="59">
    <w:name w:val="表格字体杜"/>
    <w:basedOn w:val="1"/>
    <w:qFormat/>
    <w:uiPriority w:val="0"/>
    <w:pPr>
      <w:autoSpaceDE w:val="0"/>
      <w:autoSpaceDN w:val="0"/>
      <w:ind w:left="-1" w:leftChars="-37" w:hanging="88" w:hangingChars="42"/>
      <w:jc w:val="center"/>
    </w:pPr>
    <w:rPr>
      <w:lang w:val="zh-CN"/>
    </w:rPr>
  </w:style>
  <w:style w:type="paragraph" w:customStyle="1" w:styleId="60">
    <w:name w:val="报告表 小段"/>
    <w:basedOn w:val="1"/>
    <w:qFormat/>
    <w:uiPriority w:val="0"/>
    <w:pPr>
      <w:spacing w:before="120" w:line="360" w:lineRule="auto"/>
      <w:ind w:firstLine="470" w:firstLineChars="196"/>
    </w:pPr>
    <w:rPr>
      <w:rFonts w:ascii="宋体"/>
      <w:bCs/>
      <w:sz w:val="24"/>
    </w:rPr>
  </w:style>
  <w:style w:type="paragraph" w:customStyle="1" w:styleId="61">
    <w:name w:val="TT表格文字01"/>
    <w:basedOn w:val="1"/>
    <w:qFormat/>
    <w:uiPriority w:val="0"/>
    <w:pPr>
      <w:widowControl/>
      <w:wordWrap w:val="0"/>
      <w:overflowPunct w:val="0"/>
      <w:topLinePunct/>
      <w:jc w:val="center"/>
    </w:pPr>
    <w:rPr>
      <w:color w:val="000000"/>
      <w:szCs w:val="20"/>
    </w:rPr>
  </w:style>
  <w:style w:type="paragraph" w:customStyle="1" w:styleId="62">
    <w:name w:val="TTT"/>
    <w:basedOn w:val="1"/>
    <w:autoRedefine/>
    <w:qFormat/>
    <w:uiPriority w:val="0"/>
    <w:pPr>
      <w:tabs>
        <w:tab w:val="left" w:pos="480"/>
      </w:tabs>
      <w:spacing w:line="360" w:lineRule="auto"/>
      <w:ind w:firstLine="200" w:firstLineChars="200"/>
    </w:pPr>
    <w:rPr>
      <w:rFonts w:ascii="Times New Roman" w:hAnsi="Times New Roman" w:eastAsia="宋体" w:cs="Times New Roman"/>
      <w:b/>
    </w:rPr>
  </w:style>
  <w:style w:type="character" w:customStyle="1" w:styleId="63">
    <w:name w:val="TT正文 Char"/>
    <w:link w:val="53"/>
    <w:autoRedefine/>
    <w:qFormat/>
    <w:uiPriority w:val="0"/>
    <w:rPr>
      <w:rFonts w:cs="Times New Roman"/>
      <w:kern w:val="0"/>
      <w:sz w:val="24"/>
      <w:szCs w:val="20"/>
    </w:rPr>
  </w:style>
  <w:style w:type="character" w:customStyle="1" w:styleId="64">
    <w:name w:val="fontstyle01"/>
    <w:autoRedefine/>
    <w:qFormat/>
    <w:uiPriority w:val="0"/>
    <w:rPr>
      <w:rFonts w:hint="default" w:ascii="HiddenHorzOCR-Identity-H" w:hAnsi="HiddenHorzOCR-Identity-H"/>
      <w:color w:val="000000"/>
      <w:sz w:val="22"/>
      <w:szCs w:val="22"/>
    </w:rPr>
  </w:style>
  <w:style w:type="paragraph" w:customStyle="1" w:styleId="65">
    <w:name w:val="表格文字66"/>
    <w:basedOn w:val="1"/>
    <w:qFormat/>
    <w:uiPriority w:val="0"/>
    <w:pPr>
      <w:snapToGrid w:val="0"/>
      <w:jc w:val="center"/>
    </w:pPr>
    <w:rPr>
      <w:rFonts w:cs="Times New Roman"/>
      <w:kern w:val="0"/>
    </w:rPr>
  </w:style>
  <w:style w:type="paragraph" w:customStyle="1" w:styleId="66">
    <w:name w:val="TT表格文字"/>
    <w:basedOn w:val="1"/>
    <w:autoRedefine/>
    <w:qFormat/>
    <w:uiPriority w:val="0"/>
    <w:pPr>
      <w:jc w:val="center"/>
    </w:pPr>
    <w:rPr>
      <w:rFonts w:cs="宋体"/>
      <w:szCs w:val="20"/>
    </w:rPr>
  </w:style>
  <w:style w:type="paragraph" w:customStyle="1" w:styleId="67">
    <w:name w:val="样式 宋体 小四 行距: 多倍行距 1.3 字行"/>
    <w:basedOn w:val="1"/>
    <w:autoRedefine/>
    <w:qFormat/>
    <w:uiPriority w:val="0"/>
    <w:pPr>
      <w:spacing w:line="312" w:lineRule="auto"/>
      <w:ind w:firstLine="200" w:firstLineChars="200"/>
    </w:pPr>
    <w:rPr>
      <w:rFonts w:ascii="Times New Roman" w:hAnsi="Times New Roman" w:eastAsia="宋体" w:cs="Times New Roman"/>
      <w:szCs w:val="20"/>
    </w:rPr>
  </w:style>
  <w:style w:type="paragraph" w:customStyle="1" w:styleId="68">
    <w:name w:val="表格文字"/>
    <w:basedOn w:val="24"/>
    <w:autoRedefine/>
    <w:qFormat/>
    <w:uiPriority w:val="0"/>
    <w:pPr>
      <w:adjustRightInd w:val="0"/>
      <w:snapToGrid w:val="0"/>
      <w:spacing w:before="312" w:beforeLines="100"/>
      <w:ind w:firstLine="1136" w:firstLineChars="539"/>
    </w:pPr>
    <w:rPr>
      <w:rFonts w:ascii="Times New Roman" w:hAnsi="Times New Roman" w:eastAsia="宋体" w:cs="Times New Roman"/>
      <w:b/>
      <w:lang w:val="zh-CN"/>
    </w:rPr>
  </w:style>
  <w:style w:type="paragraph" w:customStyle="1" w:styleId="69">
    <w:name w:val="环评三级标题"/>
    <w:basedOn w:val="1"/>
    <w:qFormat/>
    <w:uiPriority w:val="0"/>
    <w:pPr>
      <w:spacing w:line="360" w:lineRule="auto"/>
      <w:ind w:firstLine="200" w:firstLineChars="200"/>
      <w:outlineLvl w:val="0"/>
    </w:pPr>
    <w:rPr>
      <w:rFonts w:ascii="黑体"/>
      <w:b/>
      <w:szCs w:val="32"/>
    </w:rPr>
  </w:style>
  <w:style w:type="paragraph" w:customStyle="1" w:styleId="70">
    <w:name w:val="样式4"/>
    <w:basedOn w:val="71"/>
    <w:qFormat/>
    <w:uiPriority w:val="0"/>
    <w:pPr>
      <w:spacing w:before="0" w:beforeLines="0"/>
      <w:ind w:firstLine="0" w:firstLineChars="0"/>
      <w:jc w:val="center"/>
    </w:pPr>
    <w:rPr>
      <w:bCs/>
      <w:kern w:val="2"/>
      <w:sz w:val="21"/>
    </w:rPr>
  </w:style>
  <w:style w:type="paragraph" w:customStyle="1" w:styleId="71">
    <w:name w:val="样式3"/>
    <w:basedOn w:val="1"/>
    <w:autoRedefine/>
    <w:qFormat/>
    <w:uiPriority w:val="0"/>
    <w:pPr>
      <w:snapToGrid w:val="0"/>
      <w:spacing w:before="120" w:beforeLines="50"/>
      <w:ind w:firstLine="480" w:firstLineChars="200"/>
    </w:pPr>
    <w:rPr>
      <w:rFonts w:eastAsia="仿宋"/>
      <w:color w:val="000000"/>
      <w:kern w:val="0"/>
      <w:sz w:val="24"/>
    </w:rPr>
  </w:style>
  <w:style w:type="paragraph" w:customStyle="1" w:styleId="72">
    <w:name w:val="报告表正文"/>
    <w:basedOn w:val="1"/>
    <w:qFormat/>
    <w:uiPriority w:val="99"/>
    <w:pPr>
      <w:adjustRightInd w:val="0"/>
      <w:spacing w:line="312" w:lineRule="auto"/>
      <w:ind w:left="113" w:right="113" w:firstLine="482"/>
      <w:jc w:val="left"/>
      <w:textAlignment w:val="baseline"/>
    </w:pPr>
    <w:rPr>
      <w:kern w:val="0"/>
      <w:sz w:val="24"/>
      <w:szCs w:val="20"/>
    </w:rPr>
  </w:style>
  <w:style w:type="paragraph" w:customStyle="1" w:styleId="73">
    <w:name w:val="表格"/>
    <w:basedOn w:val="14"/>
    <w:next w:val="1"/>
    <w:qFormat/>
    <w:uiPriority w:val="0"/>
    <w:pPr>
      <w:adjustRightInd w:val="0"/>
      <w:snapToGrid w:val="0"/>
      <w:spacing w:beforeLines="10" w:afterLines="10" w:line="259" w:lineRule="auto"/>
      <w:jc w:val="center"/>
    </w:pPr>
    <w:rPr>
      <w:rFonts w:ascii="宋体"/>
      <w:kern w:val="0"/>
      <w:szCs w:val="20"/>
    </w:rPr>
  </w:style>
  <w:style w:type="paragraph" w:customStyle="1" w:styleId="74">
    <w:name w:val="列出段落1"/>
    <w:basedOn w:val="1"/>
    <w:autoRedefine/>
    <w:qFormat/>
    <w:uiPriority w:val="34"/>
    <w:pPr>
      <w:ind w:firstLine="420" w:firstLineChars="200"/>
    </w:pPr>
  </w:style>
  <w:style w:type="paragraph" w:customStyle="1" w:styleId="75">
    <w:name w:val="报告表  段"/>
    <w:basedOn w:val="1"/>
    <w:autoRedefine/>
    <w:qFormat/>
    <w:uiPriority w:val="0"/>
    <w:pPr>
      <w:adjustRightInd w:val="0"/>
      <w:spacing w:line="360" w:lineRule="auto"/>
      <w:ind w:firstLine="505"/>
      <w:textAlignment w:val="baseline"/>
    </w:pPr>
    <w:rPr>
      <w:rFonts w:ascii="宋体"/>
      <w:kern w:val="0"/>
      <w:sz w:val="24"/>
      <w:szCs w:val="20"/>
    </w:rPr>
  </w:style>
  <w:style w:type="paragraph" w:customStyle="1" w:styleId="76">
    <w:name w:val="赫正文文本"/>
    <w:basedOn w:val="1"/>
    <w:autoRedefine/>
    <w:qFormat/>
    <w:uiPriority w:val="0"/>
    <w:pPr>
      <w:spacing w:line="360" w:lineRule="auto"/>
      <w:ind w:firstLine="420" w:firstLineChars="200"/>
    </w:pPr>
    <w:rPr>
      <w:rFonts w:ascii="Times New Roman" w:hAnsi="Times New Roman" w:eastAsia="宋体"/>
    </w:rPr>
  </w:style>
  <w:style w:type="paragraph" w:customStyle="1" w:styleId="77">
    <w:name w:val="表格内"/>
    <w:basedOn w:val="24"/>
    <w:next w:val="1"/>
    <w:autoRedefine/>
    <w:qFormat/>
    <w:uiPriority w:val="0"/>
    <w:pPr>
      <w:jc w:val="center"/>
    </w:pPr>
    <w:rPr>
      <w:rFonts w:ascii="Times New Roman" w:hAnsi="Times New Roman" w:eastAsia="宋体"/>
      <w:sz w:val="21"/>
    </w:rPr>
  </w:style>
  <w:style w:type="paragraph" w:customStyle="1" w:styleId="78">
    <w:name w:val="表格1"/>
    <w:basedOn w:val="1"/>
    <w:next w:val="1"/>
    <w:autoRedefine/>
    <w:qFormat/>
    <w:uiPriority w:val="0"/>
    <w:pPr>
      <w:topLinePunct/>
      <w:autoSpaceDE w:val="0"/>
      <w:autoSpaceDN w:val="0"/>
      <w:adjustRightInd w:val="0"/>
      <w:jc w:val="center"/>
      <w:textAlignment w:val="baseline"/>
    </w:pPr>
    <w:rPr>
      <w:rFonts w:ascii="宋体" w:hAnsi="Impact"/>
      <w:kern w:val="24"/>
      <w:sz w:val="28"/>
      <w:szCs w:val="20"/>
    </w:rPr>
  </w:style>
  <w:style w:type="paragraph" w:customStyle="1" w:styleId="79">
    <w:name w:val="表格标题1"/>
    <w:basedOn w:val="1"/>
    <w:autoRedefine/>
    <w:qFormat/>
    <w:uiPriority w:val="0"/>
    <w:pPr>
      <w:pageBreakBefore/>
      <w:autoSpaceDE w:val="0"/>
      <w:autoSpaceDN w:val="0"/>
      <w:adjustRightInd w:val="0"/>
      <w:jc w:val="center"/>
      <w:textAlignment w:val="baseline"/>
    </w:pPr>
    <w:rPr>
      <w:b/>
      <w:kern w:val="24"/>
      <w:szCs w:val="20"/>
    </w:rPr>
  </w:style>
  <w:style w:type="paragraph" w:customStyle="1" w:styleId="80">
    <w:name w:val="正文1"/>
    <w:basedOn w:val="1"/>
    <w:next w:val="1"/>
    <w:qFormat/>
    <w:uiPriority w:val="0"/>
    <w:pPr>
      <w:adjustRightInd w:val="0"/>
      <w:snapToGrid w:val="0"/>
      <w:ind w:firstLine="200" w:firstLineChars="200"/>
    </w:pPr>
    <w:rPr>
      <w:szCs w:val="32"/>
    </w:rPr>
  </w:style>
  <w:style w:type="paragraph" w:customStyle="1" w:styleId="81">
    <w:name w:val="表格 32"/>
    <w:basedOn w:val="1"/>
    <w:autoRedefine/>
    <w:qFormat/>
    <w:uiPriority w:val="0"/>
    <w:pPr>
      <w:autoSpaceDE w:val="0"/>
      <w:autoSpaceDN w:val="0"/>
      <w:adjustRightInd w:val="0"/>
      <w:jc w:val="center"/>
      <w:textAlignment w:val="baseline"/>
    </w:pPr>
    <w:rPr>
      <w:rFonts w:ascii="宋体" w:hAnsi="Impact"/>
      <w:kern w:val="24"/>
      <w:szCs w:val="20"/>
    </w:rPr>
  </w:style>
  <w:style w:type="paragraph" w:customStyle="1" w:styleId="82">
    <w:name w:val="1"/>
    <w:basedOn w:val="27"/>
    <w:autoRedefine/>
    <w:qFormat/>
    <w:uiPriority w:val="0"/>
    <w:pPr>
      <w:pBdr>
        <w:bottom w:val="none" w:color="auto" w:sz="0" w:space="0"/>
      </w:pBdr>
      <w:adjustRightInd/>
      <w:snapToGrid w:val="0"/>
      <w:spacing w:line="240" w:lineRule="auto"/>
      <w:textAlignment w:val="auto"/>
    </w:pPr>
    <w:rPr>
      <w:rFonts w:eastAsia="华文新魏"/>
      <w:kern w:val="2"/>
      <w:sz w:val="21"/>
      <w:szCs w:val="18"/>
    </w:rPr>
  </w:style>
  <w:style w:type="paragraph" w:customStyle="1" w:styleId="83">
    <w:name w:val="表格内文字"/>
    <w:basedOn w:val="1"/>
    <w:qFormat/>
    <w:uiPriority w:val="0"/>
    <w:pPr>
      <w:tabs>
        <w:tab w:val="left" w:pos="0"/>
      </w:tabs>
      <w:adjustRightInd w:val="0"/>
      <w:snapToGrid w:val="0"/>
      <w:spacing w:beforeLines="50" w:afterLines="50"/>
      <w:jc w:val="center"/>
    </w:pPr>
  </w:style>
  <w:style w:type="paragraph" w:customStyle="1" w:styleId="84">
    <w:name w:val="正文一"/>
    <w:basedOn w:val="24"/>
    <w:autoRedefine/>
    <w:qFormat/>
    <w:uiPriority w:val="0"/>
    <w:pPr>
      <w:ind w:firstLine="425"/>
    </w:pPr>
    <w:rPr>
      <w:rFonts w:cs="Times New Roman"/>
      <w:sz w:val="24"/>
      <w:szCs w:val="20"/>
    </w:rPr>
  </w:style>
  <w:style w:type="paragraph" w:customStyle="1" w:styleId="85">
    <w:name w:val="wisdri-正文"/>
    <w:basedOn w:val="1"/>
    <w:autoRedefine/>
    <w:qFormat/>
    <w:uiPriority w:val="0"/>
    <w:pPr>
      <w:ind w:left="200" w:leftChars="200" w:firstLine="200" w:firstLineChars="200"/>
    </w:pPr>
    <w:rPr>
      <w:sz w:val="24"/>
      <w:szCs w:val="28"/>
    </w:rPr>
  </w:style>
  <w:style w:type="paragraph" w:customStyle="1" w:styleId="86">
    <w:name w:val="表格内容"/>
    <w:basedOn w:val="1"/>
    <w:next w:val="1"/>
    <w:qFormat/>
    <w:uiPriority w:val="0"/>
    <w:pPr>
      <w:overflowPunct w:val="0"/>
      <w:topLinePunct/>
      <w:autoSpaceDE w:val="0"/>
      <w:autoSpaceDN w:val="0"/>
      <w:jc w:val="center"/>
    </w:pPr>
    <w:rPr>
      <w:rFonts w:cs="宋体"/>
      <w:kern w:val="0"/>
      <w:szCs w:val="22"/>
      <w:lang w:val="zh-CN" w:bidi="zh-CN"/>
    </w:rPr>
  </w:style>
  <w:style w:type="character" w:customStyle="1" w:styleId="87">
    <w:name w:val="批注文字 字符"/>
    <w:basedOn w:val="37"/>
    <w:link w:val="21"/>
    <w:semiHidden/>
    <w:qFormat/>
    <w:uiPriority w:val="0"/>
    <w:rPr>
      <w:rFonts w:asciiTheme="minorHAnsi" w:hAnsiTheme="minorHAnsi" w:eastAsiaTheme="minorEastAsia"/>
      <w:sz w:val="24"/>
    </w:rPr>
  </w:style>
  <w:style w:type="character" w:customStyle="1" w:styleId="88">
    <w:name w:val="批注主题 字符"/>
    <w:basedOn w:val="87"/>
    <w:link w:val="32"/>
    <w:autoRedefine/>
    <w:qFormat/>
    <w:uiPriority w:val="0"/>
    <w:rPr>
      <w:rFonts w:asciiTheme="minorHAnsi" w:hAnsiTheme="minorHAnsi" w:eastAsiaTheme="minorEastAsia" w:cstheme="minorBidi"/>
      <w:b/>
      <w:bCs/>
      <w:kern w:val="2"/>
      <w:sz w:val="21"/>
      <w:szCs w:val="24"/>
    </w:rPr>
  </w:style>
  <w:style w:type="character" w:customStyle="1" w:styleId="89">
    <w:name w:val="批注框文本 字符"/>
    <w:basedOn w:val="37"/>
    <w:link w:val="25"/>
    <w:autoRedefine/>
    <w:qFormat/>
    <w:uiPriority w:val="0"/>
    <w:rPr>
      <w:rFonts w:asciiTheme="minorHAnsi" w:hAnsiTheme="minorHAnsi" w:eastAsiaTheme="minorEastAsia" w:cstheme="minorBidi"/>
      <w:kern w:val="2"/>
      <w:sz w:val="18"/>
      <w:szCs w:val="18"/>
    </w:rPr>
  </w:style>
  <w:style w:type="paragraph" w:customStyle="1" w:styleId="90">
    <w:name w:val="Table Text"/>
    <w:basedOn w:val="1"/>
    <w:autoRedefine/>
    <w:semiHidden/>
    <w:qFormat/>
    <w:uiPriority w:val="0"/>
    <w:pPr>
      <w:widowControl/>
      <w:kinsoku w:val="0"/>
      <w:autoSpaceDE w:val="0"/>
      <w:autoSpaceDN w:val="0"/>
      <w:snapToGrid w:val="0"/>
      <w:spacing w:line="240" w:lineRule="auto"/>
    </w:pPr>
    <w:rPr>
      <w:rFonts w:ascii="宋体" w:hAnsi="宋体" w:cs="宋体"/>
      <w:snapToGrid w:val="0"/>
      <w:color w:val="000000"/>
      <w:szCs w:val="24"/>
      <w:lang w:eastAsia="en-US"/>
    </w:rPr>
  </w:style>
  <w:style w:type="paragraph" w:customStyle="1" w:styleId="91">
    <w:name w:val="表文-标准"/>
    <w:next w:val="1"/>
    <w:autoRedefine/>
    <w:qFormat/>
    <w:uiPriority w:val="0"/>
    <w:pPr>
      <w:spacing w:line="288" w:lineRule="auto"/>
      <w:jc w:val="center"/>
    </w:pPr>
    <w:rPr>
      <w:rFonts w:ascii="Times New Roman" w:hAnsi="Times New Roman" w:eastAsia="仿宋" w:cs="Times New Roman"/>
      <w:snapToGrid w:val="0"/>
      <w:sz w:val="21"/>
      <w:szCs w:val="21"/>
      <w:lang w:val="en-US" w:eastAsia="zh-CN" w:bidi="ar-SA"/>
    </w:rPr>
  </w:style>
  <w:style w:type="paragraph" w:customStyle="1" w:styleId="92">
    <w:name w:val="表格标题"/>
    <w:basedOn w:val="20"/>
    <w:next w:val="86"/>
    <w:autoRedefine/>
    <w:qFormat/>
    <w:uiPriority w:val="0"/>
    <w:pPr>
      <w:ind w:firstLine="0" w:firstLineChars="0"/>
      <w:jc w:val="center"/>
      <w:outlineLvl w:val="4"/>
    </w:pPr>
    <w:rPr>
      <w:rFonts w:ascii="Times New Roman" w:hAnsi="Times New Roman" w:eastAsia="宋体" w:cs="宋体"/>
      <w:b/>
      <w:sz w:val="24"/>
      <w:szCs w:val="21"/>
    </w:rPr>
  </w:style>
  <w:style w:type="paragraph" w:customStyle="1" w:styleId="93">
    <w:name w:val="正文加粗"/>
    <w:basedOn w:val="1"/>
    <w:qFormat/>
    <w:uiPriority w:val="0"/>
    <w:pPr>
      <w:snapToGrid/>
      <w:ind w:firstLine="0" w:firstLineChars="0"/>
      <w:textAlignment w:val="baseline"/>
    </w:pPr>
    <w:rPr>
      <w:bCs/>
      <w:iCs/>
      <w:kern w:val="0"/>
      <w:sz w:val="21"/>
      <w:szCs w:val="21"/>
    </w:rPr>
  </w:style>
  <w:style w:type="paragraph" w:customStyle="1" w:styleId="94">
    <w:name w:val="l表式"/>
    <w:basedOn w:val="1"/>
    <w:autoRedefine/>
    <w:qFormat/>
    <w:uiPriority w:val="0"/>
    <w:pPr>
      <w:adjustRightInd w:val="0"/>
      <w:snapToGrid w:val="0"/>
      <w:spacing w:line="240" w:lineRule="auto"/>
      <w:jc w:val="center"/>
    </w:pPr>
    <w:rPr>
      <w:snapToGrid w:val="0"/>
      <w:kern w:val="0"/>
      <w:sz w:val="20"/>
      <w:szCs w:val="21"/>
      <w:lang w:val="zh-CN"/>
    </w:rPr>
  </w:style>
  <w:style w:type="paragraph" w:customStyle="1" w:styleId="95">
    <w:name w:val="样式1"/>
    <w:basedOn w:val="1"/>
    <w:qFormat/>
    <w:uiPriority w:val="0"/>
    <w:pPr>
      <w:jc w:val="center"/>
    </w:pPr>
    <w:rPr>
      <w:rFonts w:hint="default" w:asciiTheme="minorAscii" w:hAnsiTheme="minorAscii"/>
    </w:rPr>
  </w:style>
  <w:style w:type="table" w:customStyle="1" w:styleId="96">
    <w:name w:val="Table Normal"/>
    <w:basedOn w:val="35"/>
    <w:semiHidden/>
    <w:unhideWhenUsed/>
    <w:qFormat/>
    <w:uiPriority w:val="0"/>
    <w:tblPr>
      <w:tblCellMar>
        <w:top w:w="0" w:type="dxa"/>
        <w:left w:w="0" w:type="dxa"/>
        <w:bottom w:w="0" w:type="dxa"/>
        <w:right w:w="0" w:type="dxa"/>
      </w:tblCellMar>
    </w:tblPr>
  </w:style>
  <w:style w:type="paragraph" w:customStyle="1" w:styleId="97">
    <w:name w:val="BT字体"/>
    <w:basedOn w:val="1"/>
    <w:qFormat/>
    <w:uiPriority w:val="0"/>
    <w:pPr>
      <w:adjustRightInd w:val="0"/>
      <w:snapToGrid w:val="0"/>
      <w:spacing w:line="0" w:lineRule="atLeast"/>
      <w:jc w:val="center"/>
    </w:pPr>
    <w:rPr>
      <w:b/>
      <w:sz w:val="24"/>
    </w:rPr>
  </w:style>
  <w:style w:type="paragraph" w:customStyle="1" w:styleId="98">
    <w:name w:val="DL段落"/>
    <w:basedOn w:val="1"/>
    <w:qFormat/>
    <w:uiPriority w:val="0"/>
    <w:pPr>
      <w:spacing w:line="360" w:lineRule="auto"/>
      <w:ind w:firstLine="20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jpe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Q1NDY1MzYxODk0IiwKCSJHcm91cElkIiA6ICIxMDY4MzAxMzA5IiwKCSJJbWFnZSIgOiAiaVZCT1J3MEtHZ29BQUFBTlNVaEVVZ0FBQmE4QUFBRldDQVlBQUFCdUwyRlNBQUFBQVhOU1IwSUFyczRjNlFBQUlBQkpSRUZVZUp6czNYdDh6L1gvLy9IN2UzdHZlMitHWVRuT01TdGoyS3lTaEE1OEt1U3d6eWM1aEZJZkZPWDNRY21ISkZMa1hFa0lSWktSYjBoQ1J1Uk01aEE1RzJNYkd4czd2TGU5OTM3Ly92aHU3Ni9abWMzZXplMTZ1WFQ1YksvbjgvVjhQVjR1SDIrdjEvMzlmRDFmRWd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nRG5xLzFTTFFScFlRYWovQUFBQUFFbEZUa1N1UW1DQyIsCgkiVGhlbWUiIDogIiIsCgkiVHlwZSIgOiAiZmxvdyIsCgkiVXNlcklkIiA6ICI5Mjg1MzkwNzIiLAoJIlZlcnNpb24iIDogIjE4Igp9Cg=="/>
    </extobj>
    <extobj name="ECB019B1-382A-4266-B25C-5B523AA43C14-2">
      <extobjdata type="ECB019B1-382A-4266-B25C-5B523AA43C14" data="ewoJIkZpbGVJZCIgOiAiNDQyNjAwNDEzMDk1IiwKCSJHcm91cElkIiA6ICIxMDY4MzAxMzA5IiwKCSJJbWFnZSIgOiAiaVZCT1J3MEtHZ29BQUFBTlNVaEVVZ0FBQTJ3QUFBQ2NDQVlBQUFBREZpalZBQUFBQVhOU1IwSUFyczRjNlFBQUlBQkpSRUZVZUp6dDNYbGNWUFgreC9IM0RDQ0xaS2hJbUtpZ2ttc0t1WFExTlpmNmxVdWFVcVRaYXJmbHAyV0xaZGZTN0pabDJiWGRETzE2OVZkWnVWUjZiVEhUU2t0S1JSRTEwa2d0cVRBM1FtVWQ1dnordURQbnptRkFRRkFHZVQwZmovdTRuRE5uenB4SlBwenorUzZmcndR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U3ZoL3NLbS9iY0MrMXpvQUFBQUFTVVZPUks1Q1lJST0iLAoJIlRoZW1lIiA6ICIiLAoJIlR5cGUiIDogImZsb3ciLAoJIlVzZXJJZCIgOiAiOTI4NTM5MDcyIiwKCSJWZXJzaW9uIiA6ICIxM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52</Pages>
  <Words>21727</Words>
  <Characters>24059</Characters>
  <Lines>1</Lines>
  <Paragraphs>1</Paragraphs>
  <TotalTime>10</TotalTime>
  <ScaleCrop>false</ScaleCrop>
  <LinksUpToDate>false</LinksUpToDate>
  <CharactersWithSpaces>24862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2014-10-31T20:08:00Z</dcterms:created>
  <dc:creator>Administrator</dc:creator>
  <cp:lastModifiedBy>淡淡</cp:lastModifiedBy>
  <dcterms:modified xsi:type="dcterms:W3CDTF">2025-09-01T07:19:39Z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69BADC0716E24C6FB019881E866044D5_13</vt:lpwstr>
  </property>
  <property fmtid="{D5CDD505-2E9C-101B-9397-08002B2CF9AE}" pid="4" name="KSOTemplateDocerSaveRecord">
    <vt:lpwstr>eyJoZGlkIjoiMzEyNTBiNzcwY2I5NWZiMjg0ZGM5OGFlMTYyZTFmNTgiLCJ1c2VySWQiOiIyOTQwMjc2OTgifQ==</vt:lpwstr>
  </property>
</Properties>
</file>